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53D42" w14:textId="602A3834" w:rsidR="006D60C6" w:rsidRPr="00F05A7A" w:rsidRDefault="006D60C6" w:rsidP="00F05A7A">
      <w:pPr>
        <w:spacing w:after="0" w:line="360" w:lineRule="auto"/>
        <w:contextualSpacing/>
        <w:jc w:val="center"/>
        <w:rPr>
          <w:rFonts w:ascii="Arial" w:hAnsi="Arial" w:cs="Arial"/>
          <w:sz w:val="24"/>
          <w:szCs w:val="24"/>
        </w:rPr>
      </w:pPr>
      <w:r w:rsidRPr="00F05A7A">
        <w:rPr>
          <w:rFonts w:ascii="Arial" w:hAnsi="Arial" w:cs="Arial"/>
          <w:sz w:val="24"/>
          <w:szCs w:val="24"/>
        </w:rPr>
        <w:t xml:space="preserve">PRONUNCIAMENTOS CONTÁBEIS: </w:t>
      </w:r>
      <w:r w:rsidR="00FA2C90" w:rsidRPr="00F05A7A">
        <w:rPr>
          <w:rFonts w:ascii="Arial" w:hAnsi="Arial" w:cs="Arial"/>
          <w:sz w:val="24"/>
          <w:szCs w:val="24"/>
        </w:rPr>
        <w:t>Aplicabilidade e Evidenciação na Contabilidade Societária da</w:t>
      </w:r>
      <w:r w:rsidRPr="00F05A7A">
        <w:rPr>
          <w:rFonts w:ascii="Arial" w:hAnsi="Arial" w:cs="Arial"/>
          <w:sz w:val="24"/>
          <w:szCs w:val="24"/>
        </w:rPr>
        <w:t xml:space="preserve"> BRF S.A.</w:t>
      </w:r>
    </w:p>
    <w:p w14:paraId="49DBBDC1" w14:textId="77777777" w:rsidR="006D60C6" w:rsidRPr="00F05A7A" w:rsidRDefault="006D60C6" w:rsidP="00F05A7A">
      <w:pPr>
        <w:spacing w:after="0" w:line="360" w:lineRule="auto"/>
        <w:contextualSpacing/>
        <w:jc w:val="both"/>
        <w:rPr>
          <w:rFonts w:ascii="Arial" w:hAnsi="Arial" w:cs="Arial"/>
          <w:sz w:val="24"/>
          <w:szCs w:val="24"/>
        </w:rPr>
      </w:pPr>
    </w:p>
    <w:p w14:paraId="0E0B7879" w14:textId="516930AB" w:rsidR="006D60C6" w:rsidRPr="00F05A7A" w:rsidRDefault="006D60C6" w:rsidP="00F05A7A">
      <w:pPr>
        <w:spacing w:after="0" w:line="360" w:lineRule="auto"/>
        <w:contextualSpacing/>
        <w:jc w:val="right"/>
        <w:rPr>
          <w:rFonts w:ascii="Arial" w:hAnsi="Arial" w:cs="Arial"/>
          <w:sz w:val="24"/>
          <w:szCs w:val="24"/>
        </w:rPr>
      </w:pPr>
      <w:r w:rsidRPr="00F05A7A">
        <w:rPr>
          <w:rFonts w:ascii="Arial" w:hAnsi="Arial" w:cs="Arial"/>
          <w:sz w:val="24"/>
          <w:szCs w:val="24"/>
        </w:rPr>
        <w:t>Daiana Naiara Rodrigues</w:t>
      </w:r>
      <w:r w:rsidR="00FA2C90" w:rsidRPr="00F05A7A">
        <w:rPr>
          <w:rStyle w:val="Refdenotaderodap"/>
          <w:rFonts w:ascii="Arial" w:hAnsi="Arial" w:cs="Arial"/>
          <w:sz w:val="24"/>
          <w:szCs w:val="24"/>
        </w:rPr>
        <w:footnoteReference w:id="1"/>
      </w:r>
    </w:p>
    <w:p w14:paraId="69197586" w14:textId="5632B7EC" w:rsidR="006D60C6" w:rsidRPr="00F05A7A" w:rsidRDefault="00FA2C90" w:rsidP="00F05A7A">
      <w:pPr>
        <w:spacing w:after="0" w:line="360" w:lineRule="auto"/>
        <w:contextualSpacing/>
        <w:jc w:val="right"/>
        <w:rPr>
          <w:rFonts w:ascii="Arial" w:hAnsi="Arial" w:cs="Arial"/>
          <w:sz w:val="24"/>
          <w:szCs w:val="24"/>
        </w:rPr>
      </w:pPr>
      <w:r w:rsidRPr="00F05A7A">
        <w:rPr>
          <w:rFonts w:ascii="Arial" w:hAnsi="Arial" w:cs="Arial"/>
          <w:sz w:val="24"/>
          <w:szCs w:val="24"/>
        </w:rPr>
        <w:t>Fabiane Popik</w:t>
      </w:r>
      <w:r w:rsidRPr="00F05A7A">
        <w:rPr>
          <w:rStyle w:val="Refdenotaderodap"/>
          <w:rFonts w:ascii="Arial" w:hAnsi="Arial" w:cs="Arial"/>
          <w:sz w:val="24"/>
          <w:szCs w:val="24"/>
        </w:rPr>
        <w:footnoteReference w:id="2"/>
      </w:r>
    </w:p>
    <w:p w14:paraId="10BE7F08" w14:textId="77777777" w:rsidR="006D60C6" w:rsidRPr="00F05A7A" w:rsidRDefault="006D60C6" w:rsidP="00F05A7A">
      <w:pPr>
        <w:spacing w:after="0" w:line="360" w:lineRule="auto"/>
        <w:contextualSpacing/>
        <w:jc w:val="both"/>
        <w:rPr>
          <w:rFonts w:ascii="Arial" w:hAnsi="Arial" w:cs="Arial"/>
          <w:sz w:val="24"/>
          <w:szCs w:val="24"/>
        </w:rPr>
      </w:pPr>
    </w:p>
    <w:p w14:paraId="771C1837" w14:textId="77777777" w:rsidR="006D60C6" w:rsidRPr="00F05A7A" w:rsidRDefault="006D60C6" w:rsidP="00F05A7A">
      <w:pPr>
        <w:spacing w:after="0" w:line="240" w:lineRule="auto"/>
        <w:contextualSpacing/>
        <w:jc w:val="both"/>
        <w:rPr>
          <w:rFonts w:ascii="Arial" w:hAnsi="Arial" w:cs="Arial"/>
          <w:sz w:val="24"/>
          <w:szCs w:val="24"/>
        </w:rPr>
      </w:pPr>
      <w:r w:rsidRPr="00F05A7A">
        <w:rPr>
          <w:rFonts w:ascii="Arial" w:hAnsi="Arial" w:cs="Arial"/>
          <w:sz w:val="24"/>
          <w:szCs w:val="24"/>
        </w:rPr>
        <w:t>RESUMO</w:t>
      </w:r>
    </w:p>
    <w:p w14:paraId="0BD9ECAC" w14:textId="77777777" w:rsidR="006D60C6" w:rsidRPr="00F05A7A" w:rsidRDefault="006D60C6" w:rsidP="00F05A7A">
      <w:pPr>
        <w:spacing w:after="0" w:line="240" w:lineRule="auto"/>
        <w:contextualSpacing/>
        <w:jc w:val="both"/>
        <w:rPr>
          <w:rFonts w:ascii="Arial" w:hAnsi="Arial" w:cs="Arial"/>
          <w:sz w:val="24"/>
          <w:szCs w:val="24"/>
        </w:rPr>
      </w:pPr>
      <w:r w:rsidRPr="00F05A7A">
        <w:rPr>
          <w:rFonts w:ascii="Arial" w:hAnsi="Arial" w:cs="Arial"/>
          <w:sz w:val="24"/>
          <w:szCs w:val="24"/>
        </w:rPr>
        <w:t>A contabilidade societária é de fundamental importância para que as companhias apurem resultados tempestivos e fidedignos, trazendo como foco principal a aplicação das normas internacionais de contabilidade, fator de extrema importância atualmente, tanto para cumprimento da legislação vigente no país, quanto para a facilitação dos negócios internacionais. O estudo foi realizado através de pesquisa de caráter descritivo, o problema possui uma abordagem qualitativa, sendo os procedimentos realizados para a pesquisa enquadrados como documentais. A coleta de dados ocorreu através do site da B3 no segundo semestre de 2017, sendo analisados informações trazidas nos demonstrativos contábeis dos últimos três anos completos. Percebeu-se que, apesar de não haver a disponibilidade dos demonstrativos detalhados, as notas explicativas da companhia satisfazem as necessidades de informações sobre a aplicação das normas internacionais de contabilidade, e demonstram que a empresa segue com rigor o que lhe foi proposto através da legislação e dos pronunciamentos técnicos cabíveis a realidade da companhia.</w:t>
      </w:r>
    </w:p>
    <w:p w14:paraId="2716749D" w14:textId="77777777" w:rsidR="00FA2C90" w:rsidRPr="00F05A7A" w:rsidRDefault="00FA2C90" w:rsidP="00F05A7A">
      <w:pPr>
        <w:spacing w:after="0" w:line="240" w:lineRule="auto"/>
        <w:contextualSpacing/>
        <w:jc w:val="both"/>
        <w:rPr>
          <w:rFonts w:ascii="Arial" w:hAnsi="Arial" w:cs="Arial"/>
          <w:sz w:val="24"/>
          <w:szCs w:val="24"/>
        </w:rPr>
      </w:pPr>
    </w:p>
    <w:p w14:paraId="42592B2C" w14:textId="38C13D79" w:rsidR="006D60C6" w:rsidRPr="00F05A7A" w:rsidRDefault="006D60C6" w:rsidP="00F05A7A">
      <w:pPr>
        <w:spacing w:after="0" w:line="240" w:lineRule="auto"/>
        <w:contextualSpacing/>
        <w:jc w:val="both"/>
        <w:rPr>
          <w:rFonts w:ascii="Arial" w:hAnsi="Arial" w:cs="Arial"/>
          <w:sz w:val="24"/>
          <w:szCs w:val="24"/>
        </w:rPr>
      </w:pPr>
      <w:r w:rsidRPr="00F05A7A">
        <w:rPr>
          <w:rFonts w:ascii="Arial" w:hAnsi="Arial" w:cs="Arial"/>
          <w:sz w:val="24"/>
          <w:szCs w:val="24"/>
        </w:rPr>
        <w:t>Palavras-chave:</w:t>
      </w:r>
      <w:r w:rsidR="00FA2C90" w:rsidRPr="00F05A7A">
        <w:rPr>
          <w:rFonts w:ascii="Arial" w:hAnsi="Arial" w:cs="Arial"/>
          <w:sz w:val="24"/>
          <w:szCs w:val="24"/>
        </w:rPr>
        <w:t xml:space="preserve"> Demonstrações Contábeis. Normas Internacionais de C</w:t>
      </w:r>
      <w:r w:rsidRPr="00F05A7A">
        <w:rPr>
          <w:rFonts w:ascii="Arial" w:hAnsi="Arial" w:cs="Arial"/>
          <w:sz w:val="24"/>
          <w:szCs w:val="24"/>
        </w:rPr>
        <w:t>ontabilidade. Pronunciamentos Contábeis. BRF S.A. B3.</w:t>
      </w:r>
    </w:p>
    <w:p w14:paraId="59A7FDCF" w14:textId="77777777" w:rsidR="00FA2C90" w:rsidRPr="00F05A7A" w:rsidRDefault="00FA2C90" w:rsidP="00F05A7A">
      <w:pPr>
        <w:spacing w:after="0" w:line="360" w:lineRule="auto"/>
        <w:contextualSpacing/>
        <w:jc w:val="both"/>
        <w:rPr>
          <w:rFonts w:ascii="Arial" w:hAnsi="Arial" w:cs="Arial"/>
          <w:sz w:val="24"/>
          <w:szCs w:val="24"/>
        </w:rPr>
      </w:pPr>
    </w:p>
    <w:p w14:paraId="02915F8B" w14:textId="3CAD266D" w:rsidR="00FE34A2" w:rsidRPr="00F05A7A" w:rsidRDefault="009D07B3" w:rsidP="00F05A7A">
      <w:pPr>
        <w:spacing w:after="0" w:line="360" w:lineRule="auto"/>
        <w:contextualSpacing/>
        <w:jc w:val="both"/>
        <w:rPr>
          <w:rFonts w:ascii="Arial" w:hAnsi="Arial" w:cs="Arial"/>
          <w:sz w:val="24"/>
          <w:szCs w:val="24"/>
        </w:rPr>
      </w:pPr>
      <w:r w:rsidRPr="00F05A7A">
        <w:rPr>
          <w:rFonts w:ascii="Arial" w:hAnsi="Arial" w:cs="Arial"/>
          <w:sz w:val="24"/>
          <w:szCs w:val="24"/>
        </w:rPr>
        <w:t xml:space="preserve">1 </w:t>
      </w:r>
      <w:r w:rsidR="00B126DB" w:rsidRPr="00F05A7A">
        <w:rPr>
          <w:rFonts w:ascii="Arial" w:hAnsi="Arial" w:cs="Arial"/>
          <w:sz w:val="24"/>
          <w:szCs w:val="24"/>
        </w:rPr>
        <w:t>I</w:t>
      </w:r>
      <w:r w:rsidR="00D71585" w:rsidRPr="00F05A7A">
        <w:rPr>
          <w:rFonts w:ascii="Arial" w:hAnsi="Arial" w:cs="Arial"/>
          <w:sz w:val="24"/>
          <w:szCs w:val="24"/>
        </w:rPr>
        <w:t>NTRODUÇÃO</w:t>
      </w:r>
    </w:p>
    <w:p w14:paraId="5EE1BF46" w14:textId="77777777" w:rsidR="00D53341" w:rsidRPr="00F05A7A" w:rsidRDefault="00D53341" w:rsidP="00F05A7A">
      <w:pPr>
        <w:spacing w:after="0" w:line="360" w:lineRule="auto"/>
        <w:contextualSpacing/>
        <w:jc w:val="both"/>
        <w:rPr>
          <w:rFonts w:ascii="Arial" w:hAnsi="Arial" w:cs="Arial"/>
          <w:sz w:val="24"/>
          <w:szCs w:val="24"/>
        </w:rPr>
      </w:pPr>
    </w:p>
    <w:p w14:paraId="6F41CD03" w14:textId="297185F6" w:rsidR="00D401C1" w:rsidRPr="00F05A7A" w:rsidRDefault="0016516D"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A contabilidade passou por diversas mudanças desde o primeiro indício de sua existência. Pouco se sabe </w:t>
      </w:r>
      <w:r w:rsidR="006D0646" w:rsidRPr="00F05A7A">
        <w:rPr>
          <w:rFonts w:ascii="Arial" w:hAnsi="Arial" w:cs="Arial"/>
          <w:sz w:val="24"/>
          <w:szCs w:val="24"/>
        </w:rPr>
        <w:t xml:space="preserve">sobre o exato surgimento da contabilidade, </w:t>
      </w:r>
      <w:r w:rsidRPr="00F05A7A">
        <w:rPr>
          <w:rFonts w:ascii="Arial" w:hAnsi="Arial" w:cs="Arial"/>
          <w:sz w:val="24"/>
          <w:szCs w:val="24"/>
        </w:rPr>
        <w:t xml:space="preserve">de onde ou como ela </w:t>
      </w:r>
      <w:r w:rsidR="006D0646" w:rsidRPr="00F05A7A">
        <w:rPr>
          <w:rFonts w:ascii="Arial" w:hAnsi="Arial" w:cs="Arial"/>
          <w:sz w:val="24"/>
          <w:szCs w:val="24"/>
        </w:rPr>
        <w:t>foi criada</w:t>
      </w:r>
      <w:r w:rsidR="00AF0769" w:rsidRPr="00F05A7A">
        <w:rPr>
          <w:rFonts w:ascii="Arial" w:hAnsi="Arial" w:cs="Arial"/>
          <w:sz w:val="24"/>
          <w:szCs w:val="24"/>
        </w:rPr>
        <w:t>. N</w:t>
      </w:r>
      <w:r w:rsidRPr="00F05A7A">
        <w:rPr>
          <w:rFonts w:ascii="Arial" w:hAnsi="Arial" w:cs="Arial"/>
          <w:sz w:val="24"/>
          <w:szCs w:val="24"/>
        </w:rPr>
        <w:t xml:space="preserve">o entanto, </w:t>
      </w:r>
      <w:r w:rsidR="006D0646" w:rsidRPr="00F05A7A">
        <w:rPr>
          <w:rFonts w:ascii="Arial" w:hAnsi="Arial" w:cs="Arial"/>
          <w:sz w:val="24"/>
          <w:szCs w:val="24"/>
        </w:rPr>
        <w:t xml:space="preserve">acredita-se que </w:t>
      </w:r>
      <w:r w:rsidR="00E25CC8" w:rsidRPr="00F05A7A">
        <w:rPr>
          <w:rFonts w:ascii="Arial" w:hAnsi="Arial" w:cs="Arial"/>
          <w:sz w:val="24"/>
          <w:szCs w:val="24"/>
        </w:rPr>
        <w:t>sua evolução</w:t>
      </w:r>
      <w:r w:rsidRPr="00F05A7A">
        <w:rPr>
          <w:rFonts w:ascii="Arial" w:hAnsi="Arial" w:cs="Arial"/>
          <w:sz w:val="24"/>
          <w:szCs w:val="24"/>
        </w:rPr>
        <w:t xml:space="preserve"> vem se misturando juntamente com</w:t>
      </w:r>
      <w:r w:rsidR="006D0646" w:rsidRPr="00F05A7A">
        <w:rPr>
          <w:rFonts w:ascii="Arial" w:hAnsi="Arial" w:cs="Arial"/>
          <w:sz w:val="24"/>
          <w:szCs w:val="24"/>
        </w:rPr>
        <w:t xml:space="preserve"> a evolução do homem e da escrita e </w:t>
      </w:r>
      <w:r w:rsidR="00E25CC8" w:rsidRPr="00F05A7A">
        <w:rPr>
          <w:rFonts w:ascii="Arial" w:hAnsi="Arial" w:cs="Arial"/>
          <w:sz w:val="24"/>
          <w:szCs w:val="24"/>
        </w:rPr>
        <w:t xml:space="preserve">se aperfeiçoando </w:t>
      </w:r>
      <w:r w:rsidR="006D0646" w:rsidRPr="00F05A7A">
        <w:rPr>
          <w:rFonts w:ascii="Arial" w:hAnsi="Arial" w:cs="Arial"/>
          <w:sz w:val="24"/>
          <w:szCs w:val="24"/>
        </w:rPr>
        <w:t>com</w:t>
      </w:r>
      <w:r w:rsidRPr="00F05A7A">
        <w:rPr>
          <w:rFonts w:ascii="Arial" w:hAnsi="Arial" w:cs="Arial"/>
          <w:sz w:val="24"/>
          <w:szCs w:val="24"/>
        </w:rPr>
        <w:t xml:space="preserve"> o avanço do comércio.  </w:t>
      </w:r>
      <w:r w:rsidR="00391FCC" w:rsidRPr="00F05A7A">
        <w:rPr>
          <w:rFonts w:ascii="Arial" w:hAnsi="Arial" w:cs="Arial"/>
          <w:sz w:val="24"/>
          <w:szCs w:val="24"/>
        </w:rPr>
        <w:t xml:space="preserve">De acordo com Sá (2008) o registro contábil existe a mais de dez mil anos, nasceu quando ainda o homem fazia desenho em cavernas, onde eles qualificavam as coisas por desenhos e as quantificavam por sinais repetidos (traços, </w:t>
      </w:r>
      <w:r w:rsidR="00391FCC" w:rsidRPr="00F05A7A">
        <w:rPr>
          <w:rFonts w:ascii="Arial" w:hAnsi="Arial" w:cs="Arial"/>
          <w:sz w:val="24"/>
          <w:szCs w:val="24"/>
        </w:rPr>
        <w:lastRenderedPageBreak/>
        <w:t xml:space="preserve">pontos, grades e outros). Isso, para Sá (2008), foi a primeira forma racional de expressão do homem. </w:t>
      </w:r>
    </w:p>
    <w:p w14:paraId="1653D938" w14:textId="2563585E" w:rsidR="0036128D" w:rsidRPr="00F05A7A" w:rsidRDefault="0036128D"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Com o aumento das negociações internacionais, o avanço tecnológico e a necessidade de informações uniformes entre os negociadores, a contabilidade </w:t>
      </w:r>
      <w:r w:rsidR="00797F7C" w:rsidRPr="00F05A7A">
        <w:rPr>
          <w:rFonts w:ascii="Arial" w:hAnsi="Arial" w:cs="Arial"/>
          <w:sz w:val="24"/>
          <w:szCs w:val="24"/>
        </w:rPr>
        <w:t xml:space="preserve">precisou </w:t>
      </w:r>
      <w:r w:rsidRPr="00F05A7A">
        <w:rPr>
          <w:rFonts w:ascii="Arial" w:hAnsi="Arial" w:cs="Arial"/>
          <w:sz w:val="24"/>
          <w:szCs w:val="24"/>
        </w:rPr>
        <w:t>ser ajustada de forma que cada vez mais pudesse amparar a necessidade de seu</w:t>
      </w:r>
      <w:r w:rsidR="00797F7C" w:rsidRPr="00F05A7A">
        <w:rPr>
          <w:rFonts w:ascii="Arial" w:hAnsi="Arial" w:cs="Arial"/>
          <w:sz w:val="24"/>
          <w:szCs w:val="24"/>
        </w:rPr>
        <w:t xml:space="preserve">s usuários, independente da sua localidade. </w:t>
      </w:r>
    </w:p>
    <w:p w14:paraId="49F98AE1" w14:textId="107F24EC" w:rsidR="00D53341" w:rsidRPr="00F05A7A" w:rsidRDefault="0036128D" w:rsidP="00F05A7A">
      <w:pPr>
        <w:spacing w:after="0" w:line="360" w:lineRule="auto"/>
        <w:ind w:firstLine="709"/>
        <w:contextualSpacing/>
        <w:jc w:val="both"/>
        <w:rPr>
          <w:rFonts w:ascii="Arial" w:hAnsi="Arial" w:cs="Arial"/>
          <w:sz w:val="20"/>
          <w:szCs w:val="20"/>
        </w:rPr>
      </w:pPr>
      <w:r w:rsidRPr="00F05A7A">
        <w:rPr>
          <w:rFonts w:ascii="Arial" w:hAnsi="Arial" w:cs="Arial"/>
          <w:sz w:val="24"/>
          <w:szCs w:val="24"/>
        </w:rPr>
        <w:t xml:space="preserve">O avançado processo de globalização é tido como o grande responsável pela </w:t>
      </w:r>
      <w:r w:rsidR="004B7B9B" w:rsidRPr="00F05A7A">
        <w:rPr>
          <w:rFonts w:ascii="Arial" w:hAnsi="Arial" w:cs="Arial"/>
          <w:sz w:val="24"/>
          <w:szCs w:val="24"/>
        </w:rPr>
        <w:t>harmonização</w:t>
      </w:r>
      <w:r w:rsidRPr="00F05A7A">
        <w:rPr>
          <w:rFonts w:ascii="Arial" w:hAnsi="Arial" w:cs="Arial"/>
          <w:sz w:val="24"/>
          <w:szCs w:val="24"/>
        </w:rPr>
        <w:t xml:space="preserve"> das informações contábeis ao redor do mundo. A cria</w:t>
      </w:r>
      <w:r w:rsidR="004B7B9B" w:rsidRPr="00F05A7A">
        <w:rPr>
          <w:rFonts w:ascii="Arial" w:hAnsi="Arial" w:cs="Arial"/>
          <w:sz w:val="24"/>
          <w:szCs w:val="24"/>
        </w:rPr>
        <w:t>ção das Normas Internacionais de Contabilidade</w:t>
      </w:r>
      <w:r w:rsidR="00CB5D41" w:rsidRPr="00F05A7A">
        <w:rPr>
          <w:rFonts w:ascii="Arial" w:hAnsi="Arial" w:cs="Arial"/>
          <w:sz w:val="24"/>
          <w:szCs w:val="24"/>
        </w:rPr>
        <w:t xml:space="preserve"> (</w:t>
      </w:r>
      <w:r w:rsidR="004B7B9B" w:rsidRPr="00F05A7A">
        <w:rPr>
          <w:rFonts w:ascii="Arial" w:hAnsi="Arial" w:cs="Arial"/>
          <w:i/>
          <w:sz w:val="24"/>
          <w:szCs w:val="24"/>
        </w:rPr>
        <w:t>International Financial Reporting Standards</w:t>
      </w:r>
      <w:r w:rsidR="00CB5D41" w:rsidRPr="00F05A7A">
        <w:rPr>
          <w:rFonts w:ascii="Arial" w:hAnsi="Arial" w:cs="Arial"/>
          <w:sz w:val="24"/>
          <w:szCs w:val="24"/>
        </w:rPr>
        <w:t xml:space="preserve"> - IFRS</w:t>
      </w:r>
      <w:r w:rsidRPr="00F05A7A">
        <w:rPr>
          <w:rFonts w:ascii="Arial" w:hAnsi="Arial" w:cs="Arial"/>
          <w:sz w:val="24"/>
          <w:szCs w:val="24"/>
        </w:rPr>
        <w:t xml:space="preserve">) se </w:t>
      </w:r>
      <w:r w:rsidR="004B7B9B" w:rsidRPr="00F05A7A">
        <w:rPr>
          <w:rFonts w:ascii="Arial" w:hAnsi="Arial" w:cs="Arial"/>
          <w:sz w:val="24"/>
          <w:szCs w:val="24"/>
        </w:rPr>
        <w:t>deu então para auxiliar nesta padronização.</w:t>
      </w:r>
      <w:r w:rsidRPr="00F05A7A">
        <w:rPr>
          <w:rFonts w:ascii="Arial" w:hAnsi="Arial" w:cs="Arial"/>
          <w:sz w:val="24"/>
          <w:szCs w:val="24"/>
        </w:rPr>
        <w:t xml:space="preserve"> </w:t>
      </w:r>
      <w:r w:rsidR="00391FCC" w:rsidRPr="00F05A7A">
        <w:rPr>
          <w:rFonts w:ascii="Arial" w:hAnsi="Arial" w:cs="Arial"/>
          <w:sz w:val="24"/>
          <w:szCs w:val="24"/>
        </w:rPr>
        <w:t>De acordo com Deloitte (2009), a globalização contábil está inserida em um contexto de globalização da economia, e diante disto, a informação contábil passou a ter ainda mais importância para as tomadas de decisões dos investidores, e para a gestão dos administradores.</w:t>
      </w:r>
    </w:p>
    <w:p w14:paraId="59451BED" w14:textId="27849548" w:rsidR="00354F74" w:rsidRPr="00F05A7A" w:rsidRDefault="00901A13"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Segundo a página oficial da </w:t>
      </w:r>
      <w:r w:rsidR="00E25CC8" w:rsidRPr="00F05A7A">
        <w:rPr>
          <w:rFonts w:ascii="Arial" w:hAnsi="Arial" w:cs="Arial"/>
          <w:i/>
          <w:sz w:val="24"/>
          <w:szCs w:val="24"/>
        </w:rPr>
        <w:t>IFRS® Foundation</w:t>
      </w:r>
      <w:r w:rsidR="00BF697C" w:rsidRPr="00F05A7A">
        <w:rPr>
          <w:rFonts w:ascii="Arial" w:hAnsi="Arial" w:cs="Arial"/>
          <w:i/>
          <w:sz w:val="24"/>
          <w:szCs w:val="24"/>
        </w:rPr>
        <w:t xml:space="preserve"> (2017)</w:t>
      </w:r>
      <w:r w:rsidR="00354F74" w:rsidRPr="00F05A7A">
        <w:rPr>
          <w:rFonts w:ascii="Arial" w:hAnsi="Arial" w:cs="Arial"/>
          <w:sz w:val="24"/>
          <w:szCs w:val="24"/>
        </w:rPr>
        <w:t xml:space="preserve">, </w:t>
      </w:r>
      <w:r w:rsidR="00797F7C" w:rsidRPr="00F05A7A">
        <w:rPr>
          <w:rFonts w:ascii="Arial" w:hAnsi="Arial" w:cs="Arial"/>
          <w:sz w:val="24"/>
          <w:szCs w:val="24"/>
        </w:rPr>
        <w:t xml:space="preserve">uma </w:t>
      </w:r>
      <w:r w:rsidR="00354F74" w:rsidRPr="00F05A7A">
        <w:rPr>
          <w:rFonts w:ascii="Arial" w:hAnsi="Arial" w:cs="Arial"/>
          <w:sz w:val="24"/>
          <w:szCs w:val="24"/>
        </w:rPr>
        <w:t>organização de interesse público sem fins lucrativos criada para desenvolver a harmonização da contabilidade, em março deste ano</w:t>
      </w:r>
      <w:r w:rsidR="0032701A" w:rsidRPr="00F05A7A">
        <w:rPr>
          <w:rFonts w:ascii="Arial" w:hAnsi="Arial" w:cs="Arial"/>
          <w:sz w:val="24"/>
          <w:szCs w:val="24"/>
        </w:rPr>
        <w:t xml:space="preserve"> </w:t>
      </w:r>
      <w:r w:rsidR="00354F74" w:rsidRPr="00F05A7A">
        <w:rPr>
          <w:rFonts w:ascii="Arial" w:hAnsi="Arial" w:cs="Arial"/>
          <w:sz w:val="24"/>
          <w:szCs w:val="24"/>
        </w:rPr>
        <w:t xml:space="preserve">cento e cinquenta (150) jurisdições ao redor do mundo já aplicavam as normais internacionais de contabilidade de alguma forma, e destas, cento e quarenta (140) fizeram um compromisso público de apoiar um único conjunto de padrões de contabilidade de alta qualidade, o Brasil é um destes países. </w:t>
      </w:r>
    </w:p>
    <w:p w14:paraId="6ACED620" w14:textId="34D35374" w:rsidR="00755938" w:rsidRPr="00F05A7A" w:rsidRDefault="00B949E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Segundo Azevedo (2010)</w:t>
      </w:r>
      <w:r w:rsidRPr="00F05A7A">
        <w:rPr>
          <w:rFonts w:ascii="Arial" w:hAnsi="Arial" w:cs="Arial"/>
        </w:rPr>
        <w:t xml:space="preserve"> </w:t>
      </w:r>
      <w:r w:rsidRPr="00F05A7A">
        <w:rPr>
          <w:rFonts w:ascii="Arial" w:hAnsi="Arial" w:cs="Arial"/>
          <w:sz w:val="24"/>
          <w:szCs w:val="24"/>
        </w:rPr>
        <w:t xml:space="preserve">os Padrões de Contabilidade Internacional (Internacional Accounting Standards - IAS) são normas internacionais de contabilidade emitidas pelo Comitê Internacional de Padrões de Contabilidade (Internacional Accounting Standards Committee - IASC), criado em 1973 por 10 países, com o intuito de formular um padrão de normais internacionais, que fossem aceitos mundialmente. Em 2001, como parte do IASC, foi criado o Internacional </w:t>
      </w:r>
      <w:r w:rsidR="00A35234" w:rsidRPr="00F05A7A">
        <w:rPr>
          <w:rFonts w:ascii="Arial" w:hAnsi="Arial" w:cs="Arial"/>
          <w:sz w:val="24"/>
          <w:szCs w:val="24"/>
        </w:rPr>
        <w:t>Accounting</w:t>
      </w:r>
      <w:r w:rsidRPr="00F05A7A">
        <w:rPr>
          <w:rFonts w:ascii="Arial" w:hAnsi="Arial" w:cs="Arial"/>
          <w:sz w:val="24"/>
          <w:szCs w:val="24"/>
        </w:rPr>
        <w:t xml:space="preserve"> </w:t>
      </w:r>
      <w:r w:rsidR="00A35234" w:rsidRPr="00F05A7A">
        <w:rPr>
          <w:rFonts w:ascii="Arial" w:hAnsi="Arial" w:cs="Arial"/>
          <w:sz w:val="24"/>
          <w:szCs w:val="24"/>
        </w:rPr>
        <w:t>Standards</w:t>
      </w:r>
      <w:r w:rsidRPr="00F05A7A">
        <w:rPr>
          <w:rFonts w:ascii="Arial" w:hAnsi="Arial" w:cs="Arial"/>
          <w:sz w:val="24"/>
          <w:szCs w:val="24"/>
        </w:rPr>
        <w:t xml:space="preserve"> Board (IASB) que passou a ser responsável </w:t>
      </w:r>
      <w:r w:rsidR="00755938" w:rsidRPr="00F05A7A">
        <w:rPr>
          <w:rFonts w:ascii="Arial" w:hAnsi="Arial" w:cs="Arial"/>
          <w:sz w:val="24"/>
          <w:szCs w:val="24"/>
        </w:rPr>
        <w:t>pela parte técnica do IASC, incluindo, a emissão de pronunciamentos, com essa mudança, os pronunciamentos passaram a ser chamados de Internacional Financial Reporting Standard (IFRS).</w:t>
      </w:r>
    </w:p>
    <w:p w14:paraId="15B6C07A" w14:textId="6EC7210D" w:rsidR="00BB35F3" w:rsidRPr="00F05A7A" w:rsidRDefault="00354F74"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Desde o ano de 1976 o Brasil começou a dar seus primeiros passos rumo a padronização das normas, com a Lei nº 6.404, também conhecida como a Lei das Sociedades por Ações. Porém, foi efetivamente em </w:t>
      </w:r>
      <w:r w:rsidR="000D29B7" w:rsidRPr="00F05A7A">
        <w:rPr>
          <w:rFonts w:ascii="Arial" w:hAnsi="Arial" w:cs="Arial"/>
          <w:sz w:val="24"/>
          <w:szCs w:val="24"/>
        </w:rPr>
        <w:t xml:space="preserve">2007 com a Lei 11.638, que alterou e revogou a lei de 1976, que os padrões internacionais de contabilidade foram </w:t>
      </w:r>
      <w:r w:rsidR="000D29B7" w:rsidRPr="00F05A7A">
        <w:rPr>
          <w:rFonts w:ascii="Arial" w:hAnsi="Arial" w:cs="Arial"/>
          <w:sz w:val="24"/>
          <w:szCs w:val="24"/>
        </w:rPr>
        <w:lastRenderedPageBreak/>
        <w:t xml:space="preserve">aplicados com mais rigorosidade. A lei vigente atualmente é a nº 11.941/09 que veio para alterar </w:t>
      </w:r>
      <w:r w:rsidR="00E25CC8" w:rsidRPr="00F05A7A">
        <w:rPr>
          <w:rFonts w:ascii="Arial" w:hAnsi="Arial" w:cs="Arial"/>
          <w:sz w:val="24"/>
          <w:szCs w:val="24"/>
        </w:rPr>
        <w:t>e revogar a legislação</w:t>
      </w:r>
      <w:r w:rsidR="00E94D79" w:rsidRPr="00F05A7A">
        <w:rPr>
          <w:rFonts w:ascii="Arial" w:hAnsi="Arial" w:cs="Arial"/>
          <w:sz w:val="24"/>
          <w:szCs w:val="24"/>
        </w:rPr>
        <w:t xml:space="preserve"> instituída em 2007</w:t>
      </w:r>
      <w:r w:rsidR="00D401C1" w:rsidRPr="00F05A7A">
        <w:rPr>
          <w:rFonts w:ascii="Arial" w:hAnsi="Arial" w:cs="Arial"/>
          <w:sz w:val="24"/>
          <w:szCs w:val="24"/>
        </w:rPr>
        <w:t xml:space="preserve"> (IUDÍCIBUS</w:t>
      </w:r>
      <w:r w:rsidR="00E94D79" w:rsidRPr="00F05A7A">
        <w:rPr>
          <w:rFonts w:ascii="Arial" w:hAnsi="Arial" w:cs="Arial"/>
          <w:sz w:val="24"/>
          <w:szCs w:val="24"/>
        </w:rPr>
        <w:t xml:space="preserve"> et. al. 2010</w:t>
      </w:r>
      <w:r w:rsidR="00D401C1" w:rsidRPr="00F05A7A">
        <w:rPr>
          <w:rFonts w:ascii="Arial" w:hAnsi="Arial" w:cs="Arial"/>
          <w:sz w:val="24"/>
          <w:szCs w:val="24"/>
        </w:rPr>
        <w:t>)</w:t>
      </w:r>
      <w:r w:rsidR="00E94D79" w:rsidRPr="00F05A7A">
        <w:rPr>
          <w:rFonts w:ascii="Arial" w:hAnsi="Arial" w:cs="Arial"/>
          <w:sz w:val="24"/>
          <w:szCs w:val="24"/>
        </w:rPr>
        <w:t>.</w:t>
      </w:r>
    </w:p>
    <w:p w14:paraId="02A3D791" w14:textId="1C9C7BF7" w:rsidR="000509CC" w:rsidRPr="00F05A7A" w:rsidRDefault="000509C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A </w:t>
      </w:r>
      <w:r w:rsidR="00C37A4C" w:rsidRPr="00F05A7A">
        <w:rPr>
          <w:rFonts w:ascii="Arial" w:hAnsi="Arial" w:cs="Arial"/>
          <w:sz w:val="24"/>
          <w:szCs w:val="24"/>
        </w:rPr>
        <w:t>legislação brasileira, desde 1976, traz que as empresas de capital aberto, listadas na Bolsa de Valores devem seguir as normas internacionais</w:t>
      </w:r>
      <w:r w:rsidR="00D66255" w:rsidRPr="00F05A7A">
        <w:rPr>
          <w:rFonts w:ascii="Arial" w:hAnsi="Arial" w:cs="Arial"/>
          <w:sz w:val="24"/>
          <w:szCs w:val="24"/>
        </w:rPr>
        <w:t xml:space="preserve"> (Lei 6.404, 1976)</w:t>
      </w:r>
      <w:r w:rsidR="00C37A4C" w:rsidRPr="00F05A7A">
        <w:rPr>
          <w:rFonts w:ascii="Arial" w:hAnsi="Arial" w:cs="Arial"/>
          <w:sz w:val="24"/>
          <w:szCs w:val="24"/>
        </w:rPr>
        <w:t xml:space="preserve">. No Brasil, </w:t>
      </w:r>
      <w:r w:rsidR="00D66255" w:rsidRPr="00F05A7A">
        <w:rPr>
          <w:rFonts w:ascii="Arial" w:hAnsi="Arial" w:cs="Arial"/>
          <w:sz w:val="24"/>
          <w:szCs w:val="24"/>
        </w:rPr>
        <w:t>contamos com a B3, criada em março de 2017 a partir da integração da BM&amp;FBOVESPA e da Cetip. Ela se consolida como uma das principais empresas de infraestrutura de mercado financeiro no mundo, com atuação e</w:t>
      </w:r>
      <w:r w:rsidR="00085D21" w:rsidRPr="00F05A7A">
        <w:rPr>
          <w:rFonts w:ascii="Arial" w:hAnsi="Arial" w:cs="Arial"/>
          <w:sz w:val="24"/>
          <w:szCs w:val="24"/>
        </w:rPr>
        <w:t>m ambiente de bolsa e de balcão</w:t>
      </w:r>
      <w:r w:rsidR="00D66255" w:rsidRPr="00F05A7A">
        <w:rPr>
          <w:rFonts w:ascii="Arial" w:hAnsi="Arial" w:cs="Arial"/>
          <w:sz w:val="24"/>
          <w:szCs w:val="24"/>
        </w:rPr>
        <w:t xml:space="preserve"> (B3, 2018).</w:t>
      </w:r>
    </w:p>
    <w:p w14:paraId="1F02CBE8" w14:textId="64EB5EB3" w:rsidR="00E1311B" w:rsidRPr="00F05A7A" w:rsidRDefault="00BB35F3"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A partir disto, tem-se a seguinte problemática: Como </w:t>
      </w:r>
      <w:r w:rsidR="000D29B7" w:rsidRPr="00F05A7A">
        <w:rPr>
          <w:rFonts w:ascii="Arial" w:hAnsi="Arial" w:cs="Arial"/>
          <w:sz w:val="24"/>
          <w:szCs w:val="24"/>
        </w:rPr>
        <w:t xml:space="preserve">as normas internacionais, que são relativamente novas no Brasil, estão sendo aplicadas nas empresas nacionais, mais especificadamente, </w:t>
      </w:r>
      <w:r w:rsidR="00F7478D" w:rsidRPr="00F05A7A">
        <w:rPr>
          <w:rFonts w:ascii="Arial" w:hAnsi="Arial" w:cs="Arial"/>
          <w:sz w:val="24"/>
          <w:szCs w:val="24"/>
        </w:rPr>
        <w:t>na empresa BRF S.A., que possui</w:t>
      </w:r>
      <w:r w:rsidRPr="00F05A7A">
        <w:rPr>
          <w:rFonts w:ascii="Arial" w:hAnsi="Arial" w:cs="Arial"/>
          <w:sz w:val="24"/>
          <w:szCs w:val="24"/>
        </w:rPr>
        <w:t xml:space="preserve"> se</w:t>
      </w:r>
      <w:r w:rsidR="00DA08A8" w:rsidRPr="00F05A7A">
        <w:rPr>
          <w:rFonts w:ascii="Arial" w:hAnsi="Arial" w:cs="Arial"/>
          <w:sz w:val="24"/>
          <w:szCs w:val="24"/>
        </w:rPr>
        <w:t>us demonstrativos listados na B3</w:t>
      </w:r>
      <w:r w:rsidR="00BB2020" w:rsidRPr="00F05A7A">
        <w:rPr>
          <w:rStyle w:val="Refdenotaderodap"/>
          <w:rFonts w:ascii="Arial" w:hAnsi="Arial" w:cs="Arial"/>
          <w:sz w:val="24"/>
          <w:szCs w:val="24"/>
        </w:rPr>
        <w:footnoteReference w:id="3"/>
      </w:r>
      <w:r w:rsidR="00E1311B" w:rsidRPr="00F05A7A">
        <w:rPr>
          <w:rFonts w:ascii="Arial" w:hAnsi="Arial" w:cs="Arial"/>
          <w:sz w:val="24"/>
          <w:szCs w:val="24"/>
        </w:rPr>
        <w:t>?</w:t>
      </w:r>
    </w:p>
    <w:p w14:paraId="495556FA" w14:textId="77C2F70F" w:rsidR="00E1311B" w:rsidRPr="00F05A7A" w:rsidRDefault="00D401C1"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Portanto</w:t>
      </w:r>
      <w:r w:rsidR="00E1311B" w:rsidRPr="00F05A7A">
        <w:rPr>
          <w:rFonts w:ascii="Arial" w:hAnsi="Arial" w:cs="Arial"/>
          <w:sz w:val="24"/>
          <w:szCs w:val="24"/>
        </w:rPr>
        <w:t>, o objetivo geral deste</w:t>
      </w:r>
      <w:r w:rsidR="00F7478D" w:rsidRPr="00F05A7A">
        <w:rPr>
          <w:rFonts w:ascii="Arial" w:hAnsi="Arial" w:cs="Arial"/>
          <w:sz w:val="24"/>
          <w:szCs w:val="24"/>
        </w:rPr>
        <w:t xml:space="preserve"> artigo é verificar se a empresa </w:t>
      </w:r>
      <w:r w:rsidRPr="00F05A7A">
        <w:rPr>
          <w:rFonts w:ascii="Arial" w:hAnsi="Arial" w:cs="Arial"/>
          <w:sz w:val="24"/>
          <w:szCs w:val="24"/>
        </w:rPr>
        <w:t xml:space="preserve">BRF S.A </w:t>
      </w:r>
      <w:r w:rsidR="00F7478D" w:rsidRPr="00F05A7A">
        <w:rPr>
          <w:rFonts w:ascii="Arial" w:hAnsi="Arial" w:cs="Arial"/>
          <w:sz w:val="24"/>
          <w:szCs w:val="24"/>
        </w:rPr>
        <w:t xml:space="preserve">está </w:t>
      </w:r>
      <w:r w:rsidR="009F4960" w:rsidRPr="00F05A7A">
        <w:rPr>
          <w:rFonts w:ascii="Arial" w:hAnsi="Arial" w:cs="Arial"/>
          <w:sz w:val="24"/>
          <w:szCs w:val="24"/>
        </w:rPr>
        <w:t xml:space="preserve">aderindo </w:t>
      </w:r>
      <w:r w:rsidR="00797F7C" w:rsidRPr="00F05A7A">
        <w:rPr>
          <w:rFonts w:ascii="Arial" w:hAnsi="Arial" w:cs="Arial"/>
          <w:sz w:val="24"/>
          <w:szCs w:val="24"/>
        </w:rPr>
        <w:t xml:space="preserve">as normas internacionais, </w:t>
      </w:r>
      <w:r w:rsidRPr="00F05A7A">
        <w:rPr>
          <w:rFonts w:ascii="Arial" w:hAnsi="Arial" w:cs="Arial"/>
          <w:sz w:val="24"/>
          <w:szCs w:val="24"/>
        </w:rPr>
        <w:t>emitida pelos</w:t>
      </w:r>
      <w:r w:rsidR="00797F7C" w:rsidRPr="00F05A7A">
        <w:rPr>
          <w:rFonts w:ascii="Arial" w:hAnsi="Arial" w:cs="Arial"/>
          <w:sz w:val="24"/>
          <w:szCs w:val="24"/>
        </w:rPr>
        <w:t xml:space="preserve"> </w:t>
      </w:r>
      <w:r w:rsidR="00A35234" w:rsidRPr="00F05A7A">
        <w:rPr>
          <w:rFonts w:ascii="Arial" w:hAnsi="Arial" w:cs="Arial"/>
          <w:sz w:val="24"/>
          <w:szCs w:val="24"/>
        </w:rPr>
        <w:t>CPC’s</w:t>
      </w:r>
      <w:r w:rsidR="00CD0E61" w:rsidRPr="00F05A7A">
        <w:rPr>
          <w:rFonts w:ascii="Arial" w:hAnsi="Arial" w:cs="Arial"/>
          <w:sz w:val="24"/>
          <w:szCs w:val="24"/>
        </w:rPr>
        <w:t>, sob o aspecto da contabilidade societária</w:t>
      </w:r>
      <w:r w:rsidR="00E1311B" w:rsidRPr="00F05A7A">
        <w:rPr>
          <w:rFonts w:ascii="Arial" w:hAnsi="Arial" w:cs="Arial"/>
          <w:sz w:val="24"/>
          <w:szCs w:val="24"/>
        </w:rPr>
        <w:t xml:space="preserve">. Como objetivos específicos </w:t>
      </w:r>
      <w:r w:rsidR="00032193" w:rsidRPr="00F05A7A">
        <w:rPr>
          <w:rFonts w:ascii="Arial" w:hAnsi="Arial" w:cs="Arial"/>
          <w:sz w:val="24"/>
          <w:szCs w:val="24"/>
        </w:rPr>
        <w:t>tem-se</w:t>
      </w:r>
      <w:r w:rsidR="00E1311B" w:rsidRPr="00F05A7A">
        <w:rPr>
          <w:rFonts w:ascii="Arial" w:hAnsi="Arial" w:cs="Arial"/>
          <w:sz w:val="24"/>
          <w:szCs w:val="24"/>
        </w:rPr>
        <w:t xml:space="preserve">: </w:t>
      </w:r>
      <w:r w:rsidR="003033C2" w:rsidRPr="00F05A7A">
        <w:rPr>
          <w:rFonts w:ascii="Arial" w:hAnsi="Arial" w:cs="Arial"/>
          <w:sz w:val="24"/>
          <w:szCs w:val="24"/>
        </w:rPr>
        <w:t>identificar a</w:t>
      </w:r>
      <w:r w:rsidR="009F4960" w:rsidRPr="00F05A7A">
        <w:rPr>
          <w:rFonts w:ascii="Arial" w:hAnsi="Arial" w:cs="Arial"/>
          <w:sz w:val="24"/>
          <w:szCs w:val="24"/>
        </w:rPr>
        <w:t xml:space="preserve">s novas obrigações trazidas pela </w:t>
      </w:r>
      <w:r w:rsidR="00E25CC8" w:rsidRPr="00F05A7A">
        <w:rPr>
          <w:rFonts w:ascii="Arial" w:hAnsi="Arial" w:cs="Arial"/>
          <w:sz w:val="24"/>
          <w:szCs w:val="24"/>
        </w:rPr>
        <w:t>convergência à contabilidade internacional</w:t>
      </w:r>
      <w:r w:rsidR="00CD0E61" w:rsidRPr="00F05A7A">
        <w:rPr>
          <w:rFonts w:ascii="Arial" w:hAnsi="Arial" w:cs="Arial"/>
          <w:sz w:val="24"/>
          <w:szCs w:val="24"/>
        </w:rPr>
        <w:t>; verificar se as novas normas que envolvem a contabilidade societária,</w:t>
      </w:r>
      <w:r w:rsidR="009F4960" w:rsidRPr="00F05A7A">
        <w:rPr>
          <w:rFonts w:ascii="Arial" w:hAnsi="Arial" w:cs="Arial"/>
          <w:sz w:val="24"/>
          <w:szCs w:val="24"/>
        </w:rPr>
        <w:t xml:space="preserve"> são evidenciadas</w:t>
      </w:r>
      <w:r w:rsidR="00F7478D" w:rsidRPr="00F05A7A">
        <w:rPr>
          <w:rFonts w:ascii="Arial" w:hAnsi="Arial" w:cs="Arial"/>
          <w:sz w:val="24"/>
          <w:szCs w:val="24"/>
        </w:rPr>
        <w:t xml:space="preserve"> nas demonstrações contábeis da empresa</w:t>
      </w:r>
      <w:r w:rsidR="00CD0E61" w:rsidRPr="00F05A7A">
        <w:rPr>
          <w:rFonts w:ascii="Arial" w:hAnsi="Arial" w:cs="Arial"/>
          <w:sz w:val="24"/>
          <w:szCs w:val="24"/>
        </w:rPr>
        <w:t xml:space="preserve"> pesquisada,</w:t>
      </w:r>
      <w:r w:rsidR="009F4960" w:rsidRPr="00F05A7A">
        <w:rPr>
          <w:rFonts w:ascii="Arial" w:hAnsi="Arial" w:cs="Arial"/>
          <w:sz w:val="24"/>
          <w:szCs w:val="24"/>
        </w:rPr>
        <w:t xml:space="preserve"> </w:t>
      </w:r>
      <w:r w:rsidR="00E1311B" w:rsidRPr="00F05A7A">
        <w:rPr>
          <w:rFonts w:ascii="Arial" w:hAnsi="Arial" w:cs="Arial"/>
          <w:sz w:val="24"/>
          <w:szCs w:val="24"/>
        </w:rPr>
        <w:t>e</w:t>
      </w:r>
      <w:r w:rsidR="00CD0E61" w:rsidRPr="00F05A7A">
        <w:rPr>
          <w:rFonts w:ascii="Arial" w:hAnsi="Arial" w:cs="Arial"/>
          <w:sz w:val="24"/>
          <w:szCs w:val="24"/>
        </w:rPr>
        <w:t>,</w:t>
      </w:r>
      <w:r w:rsidR="00E1311B" w:rsidRPr="00F05A7A">
        <w:rPr>
          <w:rFonts w:ascii="Arial" w:hAnsi="Arial" w:cs="Arial"/>
          <w:sz w:val="24"/>
          <w:szCs w:val="24"/>
        </w:rPr>
        <w:t xml:space="preserve"> por fim</w:t>
      </w:r>
      <w:r w:rsidR="00CD0E61" w:rsidRPr="00F05A7A">
        <w:rPr>
          <w:rFonts w:ascii="Arial" w:hAnsi="Arial" w:cs="Arial"/>
          <w:sz w:val="24"/>
          <w:szCs w:val="24"/>
        </w:rPr>
        <w:t>,</w:t>
      </w:r>
      <w:r w:rsidR="00E1311B" w:rsidRPr="00F05A7A">
        <w:rPr>
          <w:rFonts w:ascii="Arial" w:hAnsi="Arial" w:cs="Arial"/>
          <w:sz w:val="24"/>
          <w:szCs w:val="24"/>
        </w:rPr>
        <w:t xml:space="preserve"> verificar se as demonstrações contábeis da </w:t>
      </w:r>
      <w:r w:rsidR="00F7478D" w:rsidRPr="00F05A7A">
        <w:rPr>
          <w:rFonts w:ascii="Arial" w:hAnsi="Arial" w:cs="Arial"/>
          <w:sz w:val="24"/>
          <w:szCs w:val="24"/>
        </w:rPr>
        <w:t>companhia</w:t>
      </w:r>
      <w:r w:rsidR="00E1311B" w:rsidRPr="00F05A7A">
        <w:rPr>
          <w:rFonts w:ascii="Arial" w:hAnsi="Arial" w:cs="Arial"/>
          <w:sz w:val="24"/>
          <w:szCs w:val="24"/>
        </w:rPr>
        <w:t xml:space="preserve"> analisada satisfazem as necessidades do usuário quanto ao bom entendimento da </w:t>
      </w:r>
      <w:r w:rsidR="009F4960" w:rsidRPr="00F05A7A">
        <w:rPr>
          <w:rFonts w:ascii="Arial" w:hAnsi="Arial" w:cs="Arial"/>
          <w:sz w:val="24"/>
          <w:szCs w:val="24"/>
        </w:rPr>
        <w:t xml:space="preserve">situação da empresa, seja ele brasileiro ou estrangeiro, que é o objetivo da harmonização contábil. </w:t>
      </w:r>
    </w:p>
    <w:p w14:paraId="62C23AD8" w14:textId="77777777" w:rsidR="0086266C" w:rsidRPr="00F05A7A" w:rsidRDefault="0086266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Levou-se em consideração para definição do estudo, que a BRF é a única empresa que está localizada em Lucas do Rio Verde que está listada na Bolsa de Valores, B3. Desta forma, seus demonstrativos estão disponíveis para análise, permitindo assim o desenvolvimento do estudo proposto.</w:t>
      </w:r>
    </w:p>
    <w:p w14:paraId="5058583E" w14:textId="77777777" w:rsidR="0086266C" w:rsidRPr="00F05A7A" w:rsidRDefault="0086266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Este estudo apresenta dados empíricos que irão contribuir para os artigos e estudos futuros sobre o tema e com análises práticas de evidenciação contábil nas empresas. Na prática vai contribuir para que os usuários da informação contábil em geral possam compreender qual a importância da aplicação correta das normas contábeis internacionais nas empresas. Para a sociedade o estudo trará análises onde </w:t>
      </w:r>
      <w:r w:rsidRPr="00F05A7A">
        <w:rPr>
          <w:rFonts w:ascii="Arial" w:hAnsi="Arial" w:cs="Arial"/>
          <w:sz w:val="24"/>
          <w:szCs w:val="24"/>
        </w:rPr>
        <w:lastRenderedPageBreak/>
        <w:t xml:space="preserve">os usuários das demonstrações contábeis possam entender e acompanhar a situação atual das empresas, e como a aplicação das normas influenciou nos resultados apurados pela companhia. </w:t>
      </w:r>
    </w:p>
    <w:p w14:paraId="69F68A89" w14:textId="77777777" w:rsidR="00E50B65" w:rsidRPr="00F05A7A" w:rsidRDefault="00E1311B"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O trabalho é estruturado em cinco parte</w:t>
      </w:r>
      <w:r w:rsidR="001060AA" w:rsidRPr="00F05A7A">
        <w:rPr>
          <w:rFonts w:ascii="Arial" w:hAnsi="Arial" w:cs="Arial"/>
          <w:sz w:val="24"/>
          <w:szCs w:val="24"/>
        </w:rPr>
        <w:t>s</w:t>
      </w:r>
      <w:r w:rsidRPr="00F05A7A">
        <w:rPr>
          <w:rFonts w:ascii="Arial" w:hAnsi="Arial" w:cs="Arial"/>
          <w:sz w:val="24"/>
          <w:szCs w:val="24"/>
        </w:rPr>
        <w:t>, onde inicia-se pela introdução, seguida pela fundamentação teórica, metodologia de pesquisa utilizad</w:t>
      </w:r>
      <w:r w:rsidR="002867D0" w:rsidRPr="00F05A7A">
        <w:rPr>
          <w:rFonts w:ascii="Arial" w:hAnsi="Arial" w:cs="Arial"/>
          <w:sz w:val="24"/>
          <w:szCs w:val="24"/>
        </w:rPr>
        <w:t>a, o desenvolvimento e análise,</w:t>
      </w:r>
      <w:r w:rsidRPr="00F05A7A">
        <w:rPr>
          <w:rFonts w:ascii="Arial" w:hAnsi="Arial" w:cs="Arial"/>
          <w:sz w:val="24"/>
          <w:szCs w:val="24"/>
        </w:rPr>
        <w:t xml:space="preserve"> posteriormente, as considerações finais.</w:t>
      </w:r>
    </w:p>
    <w:p w14:paraId="4F93B6E7" w14:textId="77777777" w:rsidR="00755938" w:rsidRPr="00F05A7A" w:rsidRDefault="00755938" w:rsidP="00F05A7A">
      <w:pPr>
        <w:spacing w:after="0" w:line="360" w:lineRule="auto"/>
        <w:ind w:firstLine="709"/>
        <w:contextualSpacing/>
        <w:jc w:val="both"/>
        <w:rPr>
          <w:rFonts w:ascii="Arial" w:hAnsi="Arial" w:cs="Arial"/>
          <w:sz w:val="24"/>
          <w:szCs w:val="24"/>
        </w:rPr>
      </w:pPr>
    </w:p>
    <w:p w14:paraId="1BB39495" w14:textId="3C2A0107" w:rsidR="00BE516C" w:rsidRPr="00F05A7A" w:rsidRDefault="009D07B3" w:rsidP="00F05A7A">
      <w:pPr>
        <w:spacing w:after="0" w:line="360" w:lineRule="auto"/>
        <w:contextualSpacing/>
        <w:jc w:val="both"/>
        <w:rPr>
          <w:rFonts w:ascii="Arial" w:hAnsi="Arial" w:cs="Arial"/>
          <w:sz w:val="24"/>
          <w:szCs w:val="24"/>
        </w:rPr>
      </w:pPr>
      <w:r w:rsidRPr="00F05A7A">
        <w:rPr>
          <w:rFonts w:ascii="Arial" w:hAnsi="Arial" w:cs="Arial"/>
          <w:sz w:val="24"/>
          <w:szCs w:val="24"/>
        </w:rPr>
        <w:t xml:space="preserve">2 </w:t>
      </w:r>
      <w:r w:rsidR="00085D21" w:rsidRPr="00F05A7A">
        <w:rPr>
          <w:rFonts w:ascii="Arial" w:hAnsi="Arial" w:cs="Arial"/>
          <w:sz w:val="24"/>
          <w:szCs w:val="24"/>
        </w:rPr>
        <w:t>REVISÃO D</w:t>
      </w:r>
      <w:r w:rsidR="001060AA" w:rsidRPr="00F05A7A">
        <w:rPr>
          <w:rFonts w:ascii="Arial" w:hAnsi="Arial" w:cs="Arial"/>
          <w:sz w:val="24"/>
          <w:szCs w:val="24"/>
        </w:rPr>
        <w:t>A</w:t>
      </w:r>
      <w:r w:rsidR="00085D21" w:rsidRPr="00F05A7A">
        <w:rPr>
          <w:rFonts w:ascii="Arial" w:hAnsi="Arial" w:cs="Arial"/>
          <w:sz w:val="24"/>
          <w:szCs w:val="24"/>
        </w:rPr>
        <w:t xml:space="preserve"> LITERATURA</w:t>
      </w:r>
    </w:p>
    <w:p w14:paraId="25E737BD" w14:textId="77777777" w:rsidR="00BB1788" w:rsidRPr="00F05A7A" w:rsidRDefault="00BB1788" w:rsidP="00F05A7A">
      <w:pPr>
        <w:pStyle w:val="PargrafodaLista"/>
        <w:spacing w:after="0" w:line="360" w:lineRule="auto"/>
        <w:ind w:left="357"/>
        <w:jc w:val="both"/>
        <w:rPr>
          <w:rFonts w:ascii="Arial" w:hAnsi="Arial" w:cs="Arial"/>
          <w:sz w:val="24"/>
          <w:szCs w:val="24"/>
        </w:rPr>
      </w:pPr>
    </w:p>
    <w:p w14:paraId="6B168060" w14:textId="11985CDD" w:rsidR="006A1EBC" w:rsidRPr="00F05A7A" w:rsidRDefault="009D07B3" w:rsidP="00F05A7A">
      <w:pPr>
        <w:spacing w:after="0" w:line="360" w:lineRule="auto"/>
        <w:contextualSpacing/>
        <w:jc w:val="both"/>
        <w:rPr>
          <w:rFonts w:ascii="Arial" w:hAnsi="Arial" w:cs="Arial"/>
          <w:sz w:val="24"/>
          <w:szCs w:val="24"/>
        </w:rPr>
      </w:pPr>
      <w:r w:rsidRPr="00F05A7A">
        <w:rPr>
          <w:rFonts w:ascii="Arial" w:hAnsi="Arial" w:cs="Arial"/>
          <w:sz w:val="24"/>
          <w:szCs w:val="24"/>
        </w:rPr>
        <w:t xml:space="preserve">2.1 </w:t>
      </w:r>
      <w:r w:rsidR="00773631" w:rsidRPr="00F05A7A">
        <w:rPr>
          <w:rFonts w:ascii="Arial" w:hAnsi="Arial" w:cs="Arial"/>
          <w:sz w:val="24"/>
          <w:szCs w:val="24"/>
        </w:rPr>
        <w:t>Contabilidade no Brasil</w:t>
      </w:r>
    </w:p>
    <w:p w14:paraId="21F33639" w14:textId="77777777" w:rsidR="00D53341" w:rsidRPr="00F05A7A" w:rsidRDefault="00D53341" w:rsidP="00F05A7A">
      <w:pPr>
        <w:spacing w:after="0" w:line="360" w:lineRule="auto"/>
        <w:ind w:firstLine="567"/>
        <w:contextualSpacing/>
        <w:jc w:val="both"/>
        <w:rPr>
          <w:rFonts w:ascii="Arial" w:hAnsi="Arial" w:cs="Arial"/>
          <w:sz w:val="24"/>
          <w:szCs w:val="24"/>
        </w:rPr>
      </w:pPr>
    </w:p>
    <w:p w14:paraId="5947C39B" w14:textId="3A2A294A" w:rsidR="00CB2D8E" w:rsidRPr="00F05A7A" w:rsidRDefault="00AE378E"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De acordo com Sá (2008) o primeiro profissional contábil nomeado no Brasil foi Gaspar Lamego, Contador da Casa Real, em 05 de </w:t>
      </w:r>
      <w:r w:rsidR="0032701A" w:rsidRPr="00F05A7A">
        <w:rPr>
          <w:rFonts w:ascii="Arial" w:hAnsi="Arial" w:cs="Arial"/>
          <w:sz w:val="24"/>
          <w:szCs w:val="24"/>
        </w:rPr>
        <w:t>janeiro</w:t>
      </w:r>
      <w:r w:rsidRPr="00F05A7A">
        <w:rPr>
          <w:rFonts w:ascii="Arial" w:hAnsi="Arial" w:cs="Arial"/>
          <w:sz w:val="24"/>
          <w:szCs w:val="24"/>
        </w:rPr>
        <w:t xml:space="preserve"> de 1549. A partir daí a contabilidade está oficialmente </w:t>
      </w:r>
      <w:r w:rsidR="000747DB" w:rsidRPr="00F05A7A">
        <w:rPr>
          <w:rFonts w:ascii="Arial" w:hAnsi="Arial" w:cs="Arial"/>
          <w:sz w:val="24"/>
          <w:szCs w:val="24"/>
        </w:rPr>
        <w:t>vinculada a história brasileira. N</w:t>
      </w:r>
      <w:r w:rsidRPr="00F05A7A">
        <w:rPr>
          <w:rFonts w:ascii="Arial" w:hAnsi="Arial" w:cs="Arial"/>
          <w:sz w:val="24"/>
          <w:szCs w:val="24"/>
        </w:rPr>
        <w:t>o entanto</w:t>
      </w:r>
      <w:r w:rsidR="000747DB" w:rsidRPr="00F05A7A">
        <w:rPr>
          <w:rFonts w:ascii="Arial" w:hAnsi="Arial" w:cs="Arial"/>
          <w:sz w:val="24"/>
          <w:szCs w:val="24"/>
        </w:rPr>
        <w:t>, apesar do longo histórico contábil no país,</w:t>
      </w:r>
      <w:r w:rsidRPr="00F05A7A">
        <w:rPr>
          <w:rFonts w:ascii="Arial" w:hAnsi="Arial" w:cs="Arial"/>
          <w:sz w:val="24"/>
          <w:szCs w:val="24"/>
        </w:rPr>
        <w:t xml:space="preserve"> foi</w:t>
      </w:r>
      <w:r w:rsidR="000747DB" w:rsidRPr="00F05A7A">
        <w:rPr>
          <w:rFonts w:ascii="Arial" w:hAnsi="Arial" w:cs="Arial"/>
          <w:sz w:val="24"/>
          <w:szCs w:val="24"/>
        </w:rPr>
        <w:t xml:space="preserve"> somente</w:t>
      </w:r>
      <w:r w:rsidRPr="00F05A7A">
        <w:rPr>
          <w:rFonts w:ascii="Arial" w:hAnsi="Arial" w:cs="Arial"/>
          <w:sz w:val="24"/>
          <w:szCs w:val="24"/>
        </w:rPr>
        <w:t xml:space="preserve"> em </w:t>
      </w:r>
      <w:r w:rsidR="00011153" w:rsidRPr="00F05A7A">
        <w:rPr>
          <w:rFonts w:ascii="Arial" w:hAnsi="Arial" w:cs="Arial"/>
          <w:sz w:val="24"/>
          <w:szCs w:val="24"/>
        </w:rPr>
        <w:t xml:space="preserve">1976 </w:t>
      </w:r>
      <w:r w:rsidRPr="00F05A7A">
        <w:rPr>
          <w:rFonts w:ascii="Arial" w:hAnsi="Arial" w:cs="Arial"/>
          <w:sz w:val="24"/>
          <w:szCs w:val="24"/>
        </w:rPr>
        <w:t>que o Brasil obteve um grande avanço no setor contábil, e desde então foi passando</w:t>
      </w:r>
      <w:r w:rsidR="00011153" w:rsidRPr="00F05A7A">
        <w:rPr>
          <w:rFonts w:ascii="Arial" w:hAnsi="Arial" w:cs="Arial"/>
          <w:sz w:val="24"/>
          <w:szCs w:val="24"/>
        </w:rPr>
        <w:t xml:space="preserve"> por constante melhoramento das normas contábeis,</w:t>
      </w:r>
      <w:r w:rsidRPr="00F05A7A">
        <w:rPr>
          <w:rFonts w:ascii="Arial" w:hAnsi="Arial" w:cs="Arial"/>
          <w:sz w:val="24"/>
          <w:szCs w:val="24"/>
        </w:rPr>
        <w:t xml:space="preserve"> e</w:t>
      </w:r>
      <w:r w:rsidR="00011153" w:rsidRPr="00F05A7A">
        <w:rPr>
          <w:rFonts w:ascii="Arial" w:hAnsi="Arial" w:cs="Arial"/>
          <w:sz w:val="24"/>
          <w:szCs w:val="24"/>
        </w:rPr>
        <w:t xml:space="preserve"> isso se deve ao fato de que cada vez mais o país está buscando se adequar </w:t>
      </w:r>
      <w:r w:rsidR="00A35234" w:rsidRPr="00F05A7A">
        <w:rPr>
          <w:rFonts w:ascii="Arial" w:hAnsi="Arial" w:cs="Arial"/>
          <w:sz w:val="24"/>
          <w:szCs w:val="24"/>
        </w:rPr>
        <w:t>à</w:t>
      </w:r>
      <w:r w:rsidR="00011153" w:rsidRPr="00F05A7A">
        <w:rPr>
          <w:rFonts w:ascii="Arial" w:hAnsi="Arial" w:cs="Arial"/>
          <w:sz w:val="24"/>
          <w:szCs w:val="24"/>
        </w:rPr>
        <w:t xml:space="preserve"> globalização das informações. </w:t>
      </w:r>
    </w:p>
    <w:p w14:paraId="0619266F" w14:textId="046DFD7E" w:rsidR="00011153" w:rsidRPr="00F05A7A" w:rsidRDefault="000747DB"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O processo de mudança i</w:t>
      </w:r>
      <w:r w:rsidR="00011153" w:rsidRPr="00F05A7A">
        <w:rPr>
          <w:rFonts w:ascii="Arial" w:hAnsi="Arial" w:cs="Arial"/>
          <w:sz w:val="24"/>
          <w:szCs w:val="24"/>
        </w:rPr>
        <w:t xml:space="preserve">niciou-se com a Lei nº 6.404/76, </w:t>
      </w:r>
      <w:r w:rsidR="00797F7C" w:rsidRPr="00F05A7A">
        <w:rPr>
          <w:rFonts w:ascii="Arial" w:hAnsi="Arial" w:cs="Arial"/>
          <w:sz w:val="24"/>
          <w:szCs w:val="24"/>
        </w:rPr>
        <w:t xml:space="preserve">e </w:t>
      </w:r>
      <w:r w:rsidR="00011153" w:rsidRPr="00F05A7A">
        <w:rPr>
          <w:rFonts w:ascii="Arial" w:hAnsi="Arial" w:cs="Arial"/>
          <w:sz w:val="24"/>
          <w:szCs w:val="24"/>
        </w:rPr>
        <w:t>no ano de 2000 foi elaborado o projeto de lei nº 3.741/00 que alterava inúmeros pontos a legislação de 1976, sendo este transformado em lei no ano de 2007</w:t>
      </w:r>
      <w:r w:rsidR="00873135" w:rsidRPr="00F05A7A">
        <w:rPr>
          <w:rFonts w:ascii="Arial" w:hAnsi="Arial" w:cs="Arial"/>
          <w:sz w:val="24"/>
          <w:szCs w:val="24"/>
        </w:rPr>
        <w:t xml:space="preserve"> (Lei nº 11.638/07)</w:t>
      </w:r>
      <w:r w:rsidR="00797F7C" w:rsidRPr="00F05A7A">
        <w:rPr>
          <w:rFonts w:ascii="Arial" w:hAnsi="Arial" w:cs="Arial"/>
          <w:sz w:val="24"/>
          <w:szCs w:val="24"/>
        </w:rPr>
        <w:t>. N</w:t>
      </w:r>
      <w:r w:rsidR="00011153" w:rsidRPr="00F05A7A">
        <w:rPr>
          <w:rFonts w:ascii="Arial" w:hAnsi="Arial" w:cs="Arial"/>
          <w:sz w:val="24"/>
          <w:szCs w:val="24"/>
        </w:rPr>
        <w:t>o entanto, segundo I</w:t>
      </w:r>
      <w:r w:rsidR="007E2568" w:rsidRPr="00F05A7A">
        <w:rPr>
          <w:rFonts w:ascii="Arial" w:hAnsi="Arial" w:cs="Arial"/>
          <w:sz w:val="24"/>
          <w:szCs w:val="24"/>
        </w:rPr>
        <w:t>udí</w:t>
      </w:r>
      <w:r w:rsidR="00797F7C" w:rsidRPr="00F05A7A">
        <w:rPr>
          <w:rFonts w:ascii="Arial" w:hAnsi="Arial" w:cs="Arial"/>
          <w:sz w:val="24"/>
          <w:szCs w:val="24"/>
        </w:rPr>
        <w:t>cibus</w:t>
      </w:r>
      <w:r w:rsidR="00011153" w:rsidRPr="00F05A7A">
        <w:rPr>
          <w:rFonts w:ascii="Arial" w:hAnsi="Arial" w:cs="Arial"/>
          <w:sz w:val="24"/>
          <w:szCs w:val="24"/>
        </w:rPr>
        <w:t xml:space="preserve">, </w:t>
      </w:r>
      <w:r w:rsidR="00951A18" w:rsidRPr="00F05A7A">
        <w:rPr>
          <w:rFonts w:ascii="Arial" w:hAnsi="Arial" w:cs="Arial"/>
          <w:sz w:val="24"/>
          <w:szCs w:val="24"/>
        </w:rPr>
        <w:t>et. al. (2010</w:t>
      </w:r>
      <w:r w:rsidR="00011153" w:rsidRPr="00F05A7A">
        <w:rPr>
          <w:rFonts w:ascii="Arial" w:hAnsi="Arial" w:cs="Arial"/>
          <w:sz w:val="24"/>
          <w:szCs w:val="24"/>
        </w:rPr>
        <w:t xml:space="preserve">), com a demora para a aprovação do projeto, que aconteceu somente no final do ano de 2007, ou seja, </w:t>
      </w:r>
      <w:r w:rsidR="00873135" w:rsidRPr="00F05A7A">
        <w:rPr>
          <w:rFonts w:ascii="Arial" w:hAnsi="Arial" w:cs="Arial"/>
          <w:sz w:val="24"/>
          <w:szCs w:val="24"/>
        </w:rPr>
        <w:t>sete</w:t>
      </w:r>
      <w:r w:rsidR="00011153" w:rsidRPr="00F05A7A">
        <w:rPr>
          <w:rFonts w:ascii="Arial" w:hAnsi="Arial" w:cs="Arial"/>
          <w:sz w:val="24"/>
          <w:szCs w:val="24"/>
        </w:rPr>
        <w:t xml:space="preserve"> anos depois da </w:t>
      </w:r>
      <w:r w:rsidR="00873135" w:rsidRPr="00F05A7A">
        <w:rPr>
          <w:rFonts w:ascii="Arial" w:hAnsi="Arial" w:cs="Arial"/>
          <w:sz w:val="24"/>
          <w:szCs w:val="24"/>
        </w:rPr>
        <w:t>apresentação</w:t>
      </w:r>
      <w:r w:rsidR="00011153" w:rsidRPr="00F05A7A">
        <w:rPr>
          <w:rFonts w:ascii="Arial" w:hAnsi="Arial" w:cs="Arial"/>
          <w:sz w:val="24"/>
          <w:szCs w:val="24"/>
        </w:rPr>
        <w:t xml:space="preserve"> do mesmo, a legislação já se encontrava defasada. Foi necessário então a implementação da Medida Provisória </w:t>
      </w:r>
      <w:r w:rsidR="00873135" w:rsidRPr="00F05A7A">
        <w:rPr>
          <w:rFonts w:ascii="Arial" w:hAnsi="Arial" w:cs="Arial"/>
          <w:sz w:val="24"/>
          <w:szCs w:val="24"/>
        </w:rPr>
        <w:t>nº 449/08, que posteriormente foi transformada em lei, sob nº 11.941/09.</w:t>
      </w:r>
    </w:p>
    <w:p w14:paraId="3E870A7D" w14:textId="7C9A3445" w:rsidR="00873135" w:rsidRPr="00F05A7A" w:rsidRDefault="0033007F" w:rsidP="00F05A7A">
      <w:pPr>
        <w:spacing w:after="0" w:line="360" w:lineRule="auto"/>
        <w:ind w:firstLine="708"/>
        <w:contextualSpacing/>
        <w:jc w:val="both"/>
        <w:rPr>
          <w:rFonts w:ascii="Arial" w:hAnsi="Arial" w:cs="Arial"/>
          <w:sz w:val="24"/>
          <w:szCs w:val="24"/>
          <w:shd w:val="clear" w:color="auto" w:fill="FFFFFF"/>
        </w:rPr>
      </w:pPr>
      <w:r w:rsidRPr="00F05A7A">
        <w:rPr>
          <w:rFonts w:ascii="Arial" w:hAnsi="Arial" w:cs="Arial"/>
          <w:sz w:val="24"/>
          <w:szCs w:val="24"/>
        </w:rPr>
        <w:t>Ainda de acordo com Iudícibus</w:t>
      </w:r>
      <w:r w:rsidR="00951A18" w:rsidRPr="00F05A7A">
        <w:rPr>
          <w:rFonts w:ascii="Arial" w:hAnsi="Arial" w:cs="Arial"/>
          <w:sz w:val="24"/>
          <w:szCs w:val="24"/>
        </w:rPr>
        <w:t>, et. al. (2010</w:t>
      </w:r>
      <w:r w:rsidRPr="00F05A7A">
        <w:rPr>
          <w:rFonts w:ascii="Arial" w:hAnsi="Arial" w:cs="Arial"/>
          <w:sz w:val="24"/>
          <w:szCs w:val="24"/>
        </w:rPr>
        <w:t>), a</w:t>
      </w:r>
      <w:r w:rsidR="00873135" w:rsidRPr="00F05A7A">
        <w:rPr>
          <w:rFonts w:ascii="Arial" w:hAnsi="Arial" w:cs="Arial"/>
          <w:sz w:val="24"/>
          <w:szCs w:val="24"/>
        </w:rPr>
        <w:t>tualmente os órgão</w:t>
      </w:r>
      <w:r w:rsidR="00450961" w:rsidRPr="00F05A7A">
        <w:rPr>
          <w:rFonts w:ascii="Arial" w:hAnsi="Arial" w:cs="Arial"/>
          <w:sz w:val="24"/>
          <w:szCs w:val="24"/>
        </w:rPr>
        <w:t>s responsáveis pela verificação, adequação e</w:t>
      </w:r>
      <w:r w:rsidR="00873135" w:rsidRPr="00F05A7A">
        <w:rPr>
          <w:rFonts w:ascii="Arial" w:hAnsi="Arial" w:cs="Arial"/>
          <w:sz w:val="24"/>
          <w:szCs w:val="24"/>
        </w:rPr>
        <w:t xml:space="preserve"> aplicação das normativas emitidas pelo Conselho Internacional de Contabilidade (IASB - </w:t>
      </w:r>
      <w:r w:rsidR="00873135" w:rsidRPr="00F05A7A">
        <w:rPr>
          <w:rFonts w:ascii="Arial" w:hAnsi="Arial" w:cs="Arial"/>
          <w:sz w:val="24"/>
          <w:szCs w:val="24"/>
          <w:shd w:val="clear" w:color="auto" w:fill="FFFFFF"/>
        </w:rPr>
        <w:t>International Accounting Standards Board) no Brasil são: CPC (Comitê de Pronunciamentos Contáb</w:t>
      </w:r>
      <w:r w:rsidRPr="00F05A7A">
        <w:rPr>
          <w:rFonts w:ascii="Arial" w:hAnsi="Arial" w:cs="Arial"/>
          <w:sz w:val="24"/>
          <w:szCs w:val="24"/>
          <w:shd w:val="clear" w:color="auto" w:fill="FFFFFF"/>
        </w:rPr>
        <w:t xml:space="preserve">eis) e outros órgãos reguladores, como CVM e CFC. </w:t>
      </w:r>
      <w:r w:rsidR="00873135" w:rsidRPr="00F05A7A">
        <w:rPr>
          <w:rFonts w:ascii="Arial" w:hAnsi="Arial" w:cs="Arial"/>
          <w:sz w:val="24"/>
          <w:szCs w:val="24"/>
          <w:shd w:val="clear" w:color="auto" w:fill="FFFFFF"/>
        </w:rPr>
        <w:t xml:space="preserve"> </w:t>
      </w:r>
    </w:p>
    <w:p w14:paraId="5E64C882" w14:textId="2316B8AD" w:rsidR="003209FB" w:rsidRPr="00F05A7A" w:rsidRDefault="003209FB" w:rsidP="00F05A7A">
      <w:pPr>
        <w:spacing w:after="0" w:line="360" w:lineRule="auto"/>
        <w:ind w:firstLine="708"/>
        <w:contextualSpacing/>
        <w:jc w:val="both"/>
        <w:rPr>
          <w:rFonts w:ascii="Arial" w:hAnsi="Arial" w:cs="Arial"/>
          <w:sz w:val="24"/>
          <w:szCs w:val="24"/>
          <w:shd w:val="clear" w:color="auto" w:fill="FFFFFF"/>
        </w:rPr>
      </w:pPr>
      <w:r w:rsidRPr="00F05A7A">
        <w:rPr>
          <w:rFonts w:ascii="Arial" w:hAnsi="Arial" w:cs="Arial"/>
          <w:sz w:val="24"/>
          <w:szCs w:val="24"/>
          <w:shd w:val="clear" w:color="auto" w:fill="FFFFFF"/>
        </w:rPr>
        <w:t xml:space="preserve">Segundo Deloitte (2009), </w:t>
      </w:r>
      <w:r w:rsidR="00BF095D" w:rsidRPr="00F05A7A">
        <w:rPr>
          <w:rFonts w:ascii="Arial" w:hAnsi="Arial" w:cs="Arial"/>
          <w:sz w:val="24"/>
          <w:szCs w:val="24"/>
          <w:shd w:val="clear" w:color="auto" w:fill="FFFFFF"/>
        </w:rPr>
        <w:t xml:space="preserve">as normativas emitidas por órgãos reguladores </w:t>
      </w:r>
      <w:r w:rsidRPr="00F05A7A">
        <w:rPr>
          <w:rFonts w:ascii="Arial" w:hAnsi="Arial" w:cs="Arial"/>
          <w:sz w:val="24"/>
          <w:szCs w:val="24"/>
          <w:shd w:val="clear" w:color="auto" w:fill="FFFFFF"/>
        </w:rPr>
        <w:t xml:space="preserve">abrangem as </w:t>
      </w:r>
      <w:r w:rsidR="00BF095D" w:rsidRPr="00F05A7A">
        <w:rPr>
          <w:rFonts w:ascii="Arial" w:hAnsi="Arial" w:cs="Arial"/>
          <w:sz w:val="24"/>
          <w:szCs w:val="24"/>
          <w:shd w:val="clear" w:color="auto" w:fill="FFFFFF"/>
        </w:rPr>
        <w:t>instituições</w:t>
      </w:r>
      <w:r w:rsidRPr="00F05A7A">
        <w:rPr>
          <w:rFonts w:ascii="Arial" w:hAnsi="Arial" w:cs="Arial"/>
          <w:sz w:val="24"/>
          <w:szCs w:val="24"/>
          <w:shd w:val="clear" w:color="auto" w:fill="FFFFFF"/>
        </w:rPr>
        <w:t xml:space="preserve"> pelas quais são responsáveis, como abaixo:</w:t>
      </w:r>
    </w:p>
    <w:p w14:paraId="7C2A29E7" w14:textId="79D8DBB1" w:rsidR="003209FB" w:rsidRPr="00F05A7A" w:rsidRDefault="003209FB" w:rsidP="00F05A7A">
      <w:pPr>
        <w:pStyle w:val="PargrafodaLista"/>
        <w:numPr>
          <w:ilvl w:val="0"/>
          <w:numId w:val="11"/>
        </w:numPr>
        <w:spacing w:after="0" w:line="360" w:lineRule="auto"/>
        <w:ind w:left="851" w:hanging="142"/>
        <w:jc w:val="both"/>
        <w:rPr>
          <w:rFonts w:ascii="Arial" w:hAnsi="Arial" w:cs="Arial"/>
          <w:sz w:val="24"/>
          <w:szCs w:val="24"/>
          <w:shd w:val="clear" w:color="auto" w:fill="FFFFFF"/>
        </w:rPr>
      </w:pPr>
      <w:r w:rsidRPr="00F05A7A">
        <w:rPr>
          <w:rFonts w:ascii="Arial" w:hAnsi="Arial" w:cs="Arial"/>
          <w:sz w:val="24"/>
          <w:szCs w:val="24"/>
          <w:shd w:val="clear" w:color="auto" w:fill="FFFFFF"/>
        </w:rPr>
        <w:lastRenderedPageBreak/>
        <w:t>CVM</w:t>
      </w:r>
      <w:r w:rsidR="00BF095D" w:rsidRPr="00F05A7A">
        <w:rPr>
          <w:rStyle w:val="Refdenotaderodap"/>
          <w:rFonts w:ascii="Arial" w:hAnsi="Arial" w:cs="Arial"/>
          <w:sz w:val="24"/>
          <w:szCs w:val="24"/>
          <w:shd w:val="clear" w:color="auto" w:fill="FFFFFF"/>
        </w:rPr>
        <w:footnoteReference w:id="4"/>
      </w:r>
      <w:r w:rsidRPr="00F05A7A">
        <w:rPr>
          <w:rFonts w:ascii="Arial" w:hAnsi="Arial" w:cs="Arial"/>
          <w:sz w:val="24"/>
          <w:szCs w:val="24"/>
          <w:shd w:val="clear" w:color="auto" w:fill="FFFFFF"/>
        </w:rPr>
        <w:t xml:space="preserve"> emite normas aplicáveis somente às companhias </w:t>
      </w:r>
      <w:r w:rsidR="00BF095D" w:rsidRPr="00F05A7A">
        <w:rPr>
          <w:rFonts w:ascii="Arial" w:hAnsi="Arial" w:cs="Arial"/>
          <w:sz w:val="24"/>
          <w:szCs w:val="24"/>
          <w:shd w:val="clear" w:color="auto" w:fill="FFFFFF"/>
        </w:rPr>
        <w:t>de capital aberto.</w:t>
      </w:r>
    </w:p>
    <w:p w14:paraId="27F99995" w14:textId="2CBB3FC5" w:rsidR="00BF095D" w:rsidRPr="00F05A7A" w:rsidRDefault="00BF095D" w:rsidP="00F05A7A">
      <w:pPr>
        <w:pStyle w:val="PargrafodaLista"/>
        <w:numPr>
          <w:ilvl w:val="0"/>
          <w:numId w:val="11"/>
        </w:numPr>
        <w:spacing w:after="0" w:line="360" w:lineRule="auto"/>
        <w:ind w:left="851" w:hanging="142"/>
        <w:jc w:val="both"/>
        <w:rPr>
          <w:rFonts w:ascii="Arial" w:hAnsi="Arial" w:cs="Arial"/>
          <w:sz w:val="24"/>
          <w:szCs w:val="24"/>
          <w:shd w:val="clear" w:color="auto" w:fill="FFFFFF"/>
        </w:rPr>
      </w:pPr>
      <w:r w:rsidRPr="00F05A7A">
        <w:rPr>
          <w:rFonts w:ascii="Arial" w:hAnsi="Arial" w:cs="Arial"/>
          <w:sz w:val="24"/>
          <w:szCs w:val="24"/>
          <w:shd w:val="clear" w:color="auto" w:fill="FFFFFF"/>
        </w:rPr>
        <w:t>CFC</w:t>
      </w:r>
      <w:r w:rsidRPr="00F05A7A">
        <w:rPr>
          <w:rStyle w:val="Refdenotaderodap"/>
          <w:rFonts w:ascii="Arial" w:hAnsi="Arial" w:cs="Arial"/>
          <w:sz w:val="24"/>
          <w:szCs w:val="24"/>
          <w:shd w:val="clear" w:color="auto" w:fill="FFFFFF"/>
        </w:rPr>
        <w:footnoteReference w:id="5"/>
      </w:r>
      <w:r w:rsidRPr="00F05A7A">
        <w:rPr>
          <w:rFonts w:ascii="Arial" w:hAnsi="Arial" w:cs="Arial"/>
          <w:sz w:val="24"/>
          <w:szCs w:val="24"/>
          <w:shd w:val="clear" w:color="auto" w:fill="FFFFFF"/>
        </w:rPr>
        <w:t xml:space="preserve"> emite normas aplicáveis a todas entidades, de forma geral.</w:t>
      </w:r>
    </w:p>
    <w:p w14:paraId="4BA5CD53" w14:textId="16C0A305" w:rsidR="00BF095D" w:rsidRPr="00F05A7A" w:rsidRDefault="00BF095D" w:rsidP="00F05A7A">
      <w:pPr>
        <w:pStyle w:val="PargrafodaLista"/>
        <w:numPr>
          <w:ilvl w:val="0"/>
          <w:numId w:val="11"/>
        </w:numPr>
        <w:spacing w:after="0" w:line="360" w:lineRule="auto"/>
        <w:ind w:left="851" w:hanging="142"/>
        <w:jc w:val="both"/>
        <w:rPr>
          <w:rFonts w:ascii="Arial" w:hAnsi="Arial" w:cs="Arial"/>
          <w:sz w:val="24"/>
          <w:szCs w:val="24"/>
          <w:shd w:val="clear" w:color="auto" w:fill="FFFFFF"/>
        </w:rPr>
      </w:pPr>
      <w:r w:rsidRPr="00F05A7A">
        <w:rPr>
          <w:rFonts w:ascii="Arial" w:hAnsi="Arial" w:cs="Arial"/>
          <w:sz w:val="24"/>
          <w:szCs w:val="24"/>
          <w:shd w:val="clear" w:color="auto" w:fill="FFFFFF"/>
        </w:rPr>
        <w:t>IBRACON</w:t>
      </w:r>
      <w:r w:rsidR="007E2568" w:rsidRPr="00F05A7A">
        <w:rPr>
          <w:rStyle w:val="Refdenotaderodap"/>
          <w:rFonts w:ascii="Arial" w:hAnsi="Arial" w:cs="Arial"/>
          <w:sz w:val="24"/>
          <w:szCs w:val="24"/>
          <w:shd w:val="clear" w:color="auto" w:fill="FFFFFF"/>
        </w:rPr>
        <w:footnoteReference w:id="6"/>
      </w:r>
      <w:r w:rsidRPr="00F05A7A">
        <w:rPr>
          <w:rFonts w:ascii="Arial" w:hAnsi="Arial" w:cs="Arial"/>
          <w:sz w:val="24"/>
          <w:szCs w:val="24"/>
          <w:shd w:val="clear" w:color="auto" w:fill="FFFFFF"/>
        </w:rPr>
        <w:t xml:space="preserve"> emite normas aplicáveis a todas as entidades de forma geral.</w:t>
      </w:r>
    </w:p>
    <w:p w14:paraId="6220C9B4" w14:textId="7A656745" w:rsidR="00BF095D" w:rsidRPr="00F05A7A" w:rsidRDefault="00BF095D" w:rsidP="00F05A7A">
      <w:pPr>
        <w:pStyle w:val="PargrafodaLista"/>
        <w:numPr>
          <w:ilvl w:val="0"/>
          <w:numId w:val="11"/>
        </w:numPr>
        <w:spacing w:after="0" w:line="360" w:lineRule="auto"/>
        <w:ind w:left="851" w:hanging="142"/>
        <w:jc w:val="both"/>
        <w:rPr>
          <w:rFonts w:ascii="Arial" w:hAnsi="Arial" w:cs="Arial"/>
          <w:sz w:val="24"/>
          <w:szCs w:val="24"/>
          <w:shd w:val="clear" w:color="auto" w:fill="FFFFFF"/>
        </w:rPr>
      </w:pPr>
      <w:r w:rsidRPr="00F05A7A">
        <w:rPr>
          <w:rFonts w:ascii="Arial" w:hAnsi="Arial" w:cs="Arial"/>
          <w:sz w:val="24"/>
          <w:szCs w:val="24"/>
          <w:shd w:val="clear" w:color="auto" w:fill="FFFFFF"/>
        </w:rPr>
        <w:t>BACEN</w:t>
      </w:r>
      <w:r w:rsidR="007E2568" w:rsidRPr="00F05A7A">
        <w:rPr>
          <w:rStyle w:val="Refdenotaderodap"/>
          <w:rFonts w:ascii="Arial" w:hAnsi="Arial" w:cs="Arial"/>
          <w:sz w:val="24"/>
          <w:szCs w:val="24"/>
          <w:shd w:val="clear" w:color="auto" w:fill="FFFFFF"/>
        </w:rPr>
        <w:footnoteReference w:id="7"/>
      </w:r>
      <w:r w:rsidRPr="00F05A7A">
        <w:rPr>
          <w:rFonts w:ascii="Arial" w:hAnsi="Arial" w:cs="Arial"/>
          <w:sz w:val="24"/>
          <w:szCs w:val="24"/>
          <w:shd w:val="clear" w:color="auto" w:fill="FFFFFF"/>
        </w:rPr>
        <w:t xml:space="preserve"> emite normas aplicáveis somente a instituições financeiras.</w:t>
      </w:r>
    </w:p>
    <w:p w14:paraId="226C1DBB" w14:textId="166CA147" w:rsidR="00BF095D" w:rsidRPr="00F05A7A" w:rsidRDefault="00BF095D" w:rsidP="00F05A7A">
      <w:pPr>
        <w:pStyle w:val="PargrafodaLista"/>
        <w:numPr>
          <w:ilvl w:val="0"/>
          <w:numId w:val="11"/>
        </w:numPr>
        <w:spacing w:after="0" w:line="360" w:lineRule="auto"/>
        <w:ind w:left="851" w:hanging="142"/>
        <w:jc w:val="both"/>
        <w:rPr>
          <w:rFonts w:ascii="Arial" w:hAnsi="Arial" w:cs="Arial"/>
          <w:sz w:val="24"/>
          <w:szCs w:val="24"/>
          <w:shd w:val="clear" w:color="auto" w:fill="FFFFFF"/>
        </w:rPr>
      </w:pPr>
      <w:r w:rsidRPr="00F05A7A">
        <w:rPr>
          <w:rFonts w:ascii="Arial" w:hAnsi="Arial" w:cs="Arial"/>
          <w:sz w:val="24"/>
          <w:szCs w:val="24"/>
          <w:shd w:val="clear" w:color="auto" w:fill="FFFFFF"/>
        </w:rPr>
        <w:t>SPC</w:t>
      </w:r>
      <w:r w:rsidR="007E2568" w:rsidRPr="00F05A7A">
        <w:rPr>
          <w:rStyle w:val="Refdenotaderodap"/>
          <w:rFonts w:ascii="Arial" w:hAnsi="Arial" w:cs="Arial"/>
          <w:sz w:val="24"/>
          <w:szCs w:val="24"/>
          <w:shd w:val="clear" w:color="auto" w:fill="FFFFFF"/>
        </w:rPr>
        <w:footnoteReference w:id="8"/>
      </w:r>
      <w:r w:rsidRPr="00F05A7A">
        <w:rPr>
          <w:rFonts w:ascii="Arial" w:hAnsi="Arial" w:cs="Arial"/>
          <w:sz w:val="24"/>
          <w:szCs w:val="24"/>
          <w:shd w:val="clear" w:color="auto" w:fill="FFFFFF"/>
        </w:rPr>
        <w:t xml:space="preserve"> emite normas aplicáveis aos fundos de pensões.</w:t>
      </w:r>
    </w:p>
    <w:p w14:paraId="7BC3ECC4" w14:textId="485C9376" w:rsidR="00BF095D" w:rsidRPr="00F05A7A" w:rsidRDefault="00BF095D" w:rsidP="00F05A7A">
      <w:pPr>
        <w:pStyle w:val="PargrafodaLista"/>
        <w:numPr>
          <w:ilvl w:val="0"/>
          <w:numId w:val="11"/>
        </w:numPr>
        <w:spacing w:after="0" w:line="360" w:lineRule="auto"/>
        <w:ind w:left="851" w:hanging="142"/>
        <w:jc w:val="both"/>
        <w:rPr>
          <w:rFonts w:ascii="Arial" w:hAnsi="Arial" w:cs="Arial"/>
          <w:sz w:val="24"/>
          <w:szCs w:val="24"/>
          <w:shd w:val="clear" w:color="auto" w:fill="FFFFFF"/>
        </w:rPr>
      </w:pPr>
      <w:r w:rsidRPr="00F05A7A">
        <w:rPr>
          <w:rFonts w:ascii="Arial" w:hAnsi="Arial" w:cs="Arial"/>
          <w:sz w:val="24"/>
          <w:szCs w:val="24"/>
          <w:shd w:val="clear" w:color="auto" w:fill="FFFFFF"/>
        </w:rPr>
        <w:t>SUSEP</w:t>
      </w:r>
      <w:r w:rsidR="007E2568" w:rsidRPr="00F05A7A">
        <w:rPr>
          <w:rStyle w:val="Refdenotaderodap"/>
          <w:rFonts w:ascii="Arial" w:hAnsi="Arial" w:cs="Arial"/>
          <w:sz w:val="24"/>
          <w:szCs w:val="24"/>
          <w:shd w:val="clear" w:color="auto" w:fill="FFFFFF"/>
        </w:rPr>
        <w:footnoteReference w:id="9"/>
      </w:r>
      <w:r w:rsidRPr="00F05A7A">
        <w:rPr>
          <w:rFonts w:ascii="Arial" w:hAnsi="Arial" w:cs="Arial"/>
          <w:sz w:val="24"/>
          <w:szCs w:val="24"/>
          <w:shd w:val="clear" w:color="auto" w:fill="FFFFFF"/>
        </w:rPr>
        <w:t xml:space="preserve"> emite normas aplicáveis às seguradoras</w:t>
      </w:r>
      <w:r w:rsidR="007E2568" w:rsidRPr="00F05A7A">
        <w:rPr>
          <w:rFonts w:ascii="Arial" w:hAnsi="Arial" w:cs="Arial"/>
          <w:sz w:val="24"/>
          <w:szCs w:val="24"/>
          <w:shd w:val="clear" w:color="auto" w:fill="FFFFFF"/>
        </w:rPr>
        <w:t>.</w:t>
      </w:r>
    </w:p>
    <w:p w14:paraId="528F2BC9" w14:textId="4CD0207D" w:rsidR="00BF095D" w:rsidRPr="00F05A7A" w:rsidRDefault="00360F43" w:rsidP="00F05A7A">
      <w:pPr>
        <w:spacing w:after="0" w:line="360" w:lineRule="auto"/>
        <w:ind w:firstLine="708"/>
        <w:contextualSpacing/>
        <w:jc w:val="both"/>
        <w:rPr>
          <w:rFonts w:ascii="Arial" w:hAnsi="Arial" w:cs="Arial"/>
          <w:sz w:val="24"/>
          <w:szCs w:val="24"/>
          <w:shd w:val="clear" w:color="auto" w:fill="FFFFFF"/>
        </w:rPr>
      </w:pPr>
      <w:r w:rsidRPr="00F05A7A">
        <w:rPr>
          <w:rFonts w:ascii="Arial" w:hAnsi="Arial" w:cs="Arial"/>
          <w:sz w:val="24"/>
          <w:szCs w:val="24"/>
          <w:shd w:val="clear" w:color="auto" w:fill="FFFFFF"/>
        </w:rPr>
        <w:t xml:space="preserve">No Brasil, o Comitê de Pronunciamentos Técnicos tem grande importância na harmonização das informações, não só com o padrão internacional, mas conciliar a necessidade dos órgãos brasileiros. </w:t>
      </w:r>
    </w:p>
    <w:p w14:paraId="0A73E301" w14:textId="77777777" w:rsidR="00D53341" w:rsidRPr="00F05A7A" w:rsidRDefault="00D53341" w:rsidP="00F05A7A">
      <w:pPr>
        <w:spacing w:after="0" w:line="240" w:lineRule="auto"/>
        <w:ind w:left="2268"/>
        <w:contextualSpacing/>
        <w:jc w:val="both"/>
        <w:rPr>
          <w:rFonts w:ascii="Arial" w:hAnsi="Arial" w:cs="Arial"/>
          <w:sz w:val="20"/>
          <w:szCs w:val="20"/>
        </w:rPr>
      </w:pPr>
    </w:p>
    <w:p w14:paraId="6654C15E" w14:textId="4B587C2E" w:rsidR="00A14679" w:rsidRPr="00F05A7A" w:rsidRDefault="00360F43" w:rsidP="00F05A7A">
      <w:pPr>
        <w:spacing w:after="0" w:line="240" w:lineRule="auto"/>
        <w:ind w:left="2268"/>
        <w:contextualSpacing/>
        <w:jc w:val="both"/>
        <w:rPr>
          <w:rFonts w:ascii="Arial" w:hAnsi="Arial" w:cs="Arial"/>
        </w:rPr>
      </w:pPr>
      <w:r w:rsidRPr="00F05A7A">
        <w:rPr>
          <w:rFonts w:ascii="Arial" w:hAnsi="Arial" w:cs="Arial"/>
        </w:rPr>
        <w:t xml:space="preserve">[...] </w:t>
      </w:r>
      <w:r w:rsidR="00D4653D" w:rsidRPr="00F05A7A">
        <w:rPr>
          <w:rFonts w:ascii="Arial" w:hAnsi="Arial" w:cs="Arial"/>
        </w:rPr>
        <w:t>u</w:t>
      </w:r>
      <w:r w:rsidRPr="00F05A7A">
        <w:rPr>
          <w:rFonts w:ascii="Arial" w:hAnsi="Arial" w:cs="Arial"/>
        </w:rPr>
        <w:t xml:space="preserve">m importante passo, no Brasil, foi dado pela criação do CPC – Comitê de Pronunciamentos Contábeis. Depois de duas décadas, seis entidades não governamentais entraram em acordo, uniram-se, e cinco delas pediram a sexta a formalização do Comitê. Assim, o CFC – Conselho </w:t>
      </w:r>
      <w:r w:rsidR="00AE378E" w:rsidRPr="00F05A7A">
        <w:rPr>
          <w:rFonts w:ascii="Arial" w:hAnsi="Arial" w:cs="Arial"/>
        </w:rPr>
        <w:t>F</w:t>
      </w:r>
      <w:r w:rsidRPr="00F05A7A">
        <w:rPr>
          <w:rFonts w:ascii="Arial" w:hAnsi="Arial" w:cs="Arial"/>
        </w:rPr>
        <w:t xml:space="preserve">ederal de Contabilidade, a pedido da APIMEC NACIONAL – Associação dos Analistas e Profissionais de Investimento do Mercado de Capitais -, da ABRASCA – Associação Brasileira das Companhias Abertas-, da BM&amp;FBOVESPA – Bolsa de Mercadorias, Valores e Futuros -, da FIPECAFI – Fundação (conveniada à FEA/USP) -, e do IBRACON – Instituto dos Auditores Independentes do Brasil -, </w:t>
      </w:r>
      <w:r w:rsidR="00D4653D" w:rsidRPr="00F05A7A">
        <w:rPr>
          <w:rFonts w:ascii="Arial" w:hAnsi="Arial" w:cs="Arial"/>
        </w:rPr>
        <w:t>emitiu sua resolução 1.055/05 criando esse comitê. Ele está sendo suportado materialmente pelo Conselho Federal de Contabilidade, mas possui total e completa independência em suas deliberações (Pronunciamentos Técnicos</w:t>
      </w:r>
      <w:r w:rsidR="00085D21" w:rsidRPr="00F05A7A">
        <w:rPr>
          <w:rFonts w:ascii="Arial" w:hAnsi="Arial" w:cs="Arial"/>
        </w:rPr>
        <w:t xml:space="preserve">, Interpretações e </w:t>
      </w:r>
      <w:r w:rsidR="00A35234" w:rsidRPr="00F05A7A">
        <w:rPr>
          <w:rFonts w:ascii="Arial" w:hAnsi="Arial" w:cs="Arial"/>
        </w:rPr>
        <w:t>Orientações) (</w:t>
      </w:r>
      <w:r w:rsidR="00D4653D" w:rsidRPr="00F05A7A">
        <w:rPr>
          <w:rFonts w:ascii="Arial" w:hAnsi="Arial" w:cs="Arial"/>
        </w:rPr>
        <w:t xml:space="preserve">IUDÍCIBUS, </w:t>
      </w:r>
      <w:r w:rsidR="007C4E69" w:rsidRPr="00F05A7A">
        <w:rPr>
          <w:rFonts w:ascii="Arial" w:hAnsi="Arial" w:cs="Arial"/>
        </w:rPr>
        <w:t>et. al.,</w:t>
      </w:r>
      <w:r w:rsidR="00A14679" w:rsidRPr="00F05A7A">
        <w:rPr>
          <w:rFonts w:ascii="Arial" w:hAnsi="Arial" w:cs="Arial"/>
        </w:rPr>
        <w:t xml:space="preserve"> </w:t>
      </w:r>
      <w:r w:rsidR="00D4653D" w:rsidRPr="00F05A7A">
        <w:rPr>
          <w:rFonts w:ascii="Arial" w:hAnsi="Arial" w:cs="Arial"/>
        </w:rPr>
        <w:t>201</w:t>
      </w:r>
      <w:r w:rsidR="00514B55" w:rsidRPr="00F05A7A">
        <w:rPr>
          <w:rFonts w:ascii="Arial" w:hAnsi="Arial" w:cs="Arial"/>
        </w:rPr>
        <w:t>0</w:t>
      </w:r>
      <w:r w:rsidR="001060AA" w:rsidRPr="00F05A7A">
        <w:rPr>
          <w:rFonts w:ascii="Arial" w:hAnsi="Arial" w:cs="Arial"/>
        </w:rPr>
        <w:t>, p</w:t>
      </w:r>
      <w:r w:rsidR="001D1415" w:rsidRPr="00F05A7A">
        <w:rPr>
          <w:rFonts w:ascii="Arial" w:hAnsi="Arial" w:cs="Arial"/>
        </w:rPr>
        <w:t xml:space="preserve">. </w:t>
      </w:r>
      <w:r w:rsidR="00D4653D" w:rsidRPr="00F05A7A">
        <w:rPr>
          <w:rFonts w:ascii="Arial" w:hAnsi="Arial" w:cs="Arial"/>
        </w:rPr>
        <w:t>15</w:t>
      </w:r>
      <w:r w:rsidR="00A14679" w:rsidRPr="00F05A7A">
        <w:rPr>
          <w:rFonts w:ascii="Arial" w:hAnsi="Arial" w:cs="Arial"/>
        </w:rPr>
        <w:t>).</w:t>
      </w:r>
    </w:p>
    <w:p w14:paraId="5BE782AC" w14:textId="77777777" w:rsidR="00C12CB3" w:rsidRPr="00F05A7A" w:rsidRDefault="00C12CB3" w:rsidP="00F05A7A">
      <w:pPr>
        <w:spacing w:after="0" w:line="240" w:lineRule="auto"/>
        <w:ind w:left="2268"/>
        <w:contextualSpacing/>
        <w:jc w:val="both"/>
        <w:rPr>
          <w:rFonts w:ascii="Arial" w:hAnsi="Arial" w:cs="Arial"/>
          <w:sz w:val="20"/>
          <w:szCs w:val="20"/>
        </w:rPr>
      </w:pPr>
    </w:p>
    <w:p w14:paraId="604CB740" w14:textId="4C4B62BD" w:rsidR="00015377" w:rsidRPr="00F05A7A" w:rsidRDefault="00D4653D"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Como visto, o CPC é formado por </w:t>
      </w:r>
      <w:r w:rsidR="003C0209" w:rsidRPr="00F05A7A">
        <w:rPr>
          <w:rFonts w:ascii="Arial" w:hAnsi="Arial" w:cs="Arial"/>
          <w:sz w:val="24"/>
          <w:szCs w:val="24"/>
        </w:rPr>
        <w:t>diversas</w:t>
      </w:r>
      <w:r w:rsidRPr="00F05A7A">
        <w:rPr>
          <w:rFonts w:ascii="Arial" w:hAnsi="Arial" w:cs="Arial"/>
          <w:sz w:val="24"/>
          <w:szCs w:val="24"/>
        </w:rPr>
        <w:t xml:space="preserve"> instituições, evitando assim que ocorra a emissão de várias normativas sobre um mesmo assunto, sob diferentes perspectivas. Ainda segundo Iudícibus, </w:t>
      </w:r>
      <w:r w:rsidR="00454956" w:rsidRPr="00F05A7A">
        <w:rPr>
          <w:rFonts w:ascii="Arial" w:hAnsi="Arial" w:cs="Arial"/>
          <w:sz w:val="24"/>
          <w:szCs w:val="24"/>
        </w:rPr>
        <w:t xml:space="preserve">et. al. </w:t>
      </w:r>
      <w:r w:rsidRPr="00F05A7A">
        <w:rPr>
          <w:rFonts w:ascii="Arial" w:hAnsi="Arial" w:cs="Arial"/>
          <w:sz w:val="24"/>
          <w:szCs w:val="24"/>
        </w:rPr>
        <w:t>(</w:t>
      </w:r>
      <w:r w:rsidR="00454956" w:rsidRPr="00F05A7A">
        <w:rPr>
          <w:rFonts w:ascii="Arial" w:hAnsi="Arial" w:cs="Arial"/>
          <w:sz w:val="24"/>
          <w:szCs w:val="24"/>
        </w:rPr>
        <w:t>2010</w:t>
      </w:r>
      <w:r w:rsidRPr="00F05A7A">
        <w:rPr>
          <w:rFonts w:ascii="Arial" w:hAnsi="Arial" w:cs="Arial"/>
          <w:sz w:val="24"/>
          <w:szCs w:val="24"/>
        </w:rPr>
        <w:t>), quando há necessidade da elaboração de uma norma, se reúnem os mem</w:t>
      </w:r>
      <w:r w:rsidR="009F7FFD" w:rsidRPr="00F05A7A">
        <w:rPr>
          <w:rFonts w:ascii="Arial" w:hAnsi="Arial" w:cs="Arial"/>
          <w:sz w:val="24"/>
          <w:szCs w:val="24"/>
        </w:rPr>
        <w:t>bros do comitê, bem como outras partes importantes</w:t>
      </w:r>
      <w:r w:rsidRPr="00F05A7A">
        <w:rPr>
          <w:rFonts w:ascii="Arial" w:hAnsi="Arial" w:cs="Arial"/>
          <w:sz w:val="24"/>
          <w:szCs w:val="24"/>
        </w:rPr>
        <w:t>, como o caso da Receita Federal do Brasil, grande interessada nas normas que serão ali emitidas</w:t>
      </w:r>
      <w:r w:rsidR="009F7FFD" w:rsidRPr="00F05A7A">
        <w:rPr>
          <w:rFonts w:ascii="Arial" w:hAnsi="Arial" w:cs="Arial"/>
          <w:sz w:val="24"/>
          <w:szCs w:val="24"/>
        </w:rPr>
        <w:t>, estando sempre presente nas reuniões</w:t>
      </w:r>
      <w:r w:rsidRPr="00F05A7A">
        <w:rPr>
          <w:rFonts w:ascii="Arial" w:hAnsi="Arial" w:cs="Arial"/>
          <w:sz w:val="24"/>
          <w:szCs w:val="24"/>
        </w:rPr>
        <w:t xml:space="preserve">. Muitas vezes, órgãos reguladores de entidades específicas como </w:t>
      </w:r>
      <w:r w:rsidR="009F7FFD" w:rsidRPr="00F05A7A">
        <w:rPr>
          <w:rFonts w:ascii="Arial" w:hAnsi="Arial" w:cs="Arial"/>
          <w:sz w:val="24"/>
          <w:szCs w:val="24"/>
        </w:rPr>
        <w:t>ANEEL</w:t>
      </w:r>
      <w:r w:rsidR="00C038DA" w:rsidRPr="00F05A7A">
        <w:rPr>
          <w:rStyle w:val="Refdenotaderodap"/>
          <w:rFonts w:ascii="Arial" w:hAnsi="Arial" w:cs="Arial"/>
          <w:sz w:val="24"/>
          <w:szCs w:val="24"/>
        </w:rPr>
        <w:footnoteReference w:id="10"/>
      </w:r>
      <w:r w:rsidR="009F7FFD" w:rsidRPr="00F05A7A">
        <w:rPr>
          <w:rFonts w:ascii="Arial" w:hAnsi="Arial" w:cs="Arial"/>
          <w:sz w:val="24"/>
          <w:szCs w:val="24"/>
        </w:rPr>
        <w:t xml:space="preserve"> ou SUSEP</w:t>
      </w:r>
      <w:r w:rsidRPr="00F05A7A">
        <w:rPr>
          <w:rFonts w:ascii="Arial" w:hAnsi="Arial" w:cs="Arial"/>
          <w:sz w:val="24"/>
          <w:szCs w:val="24"/>
        </w:rPr>
        <w:t xml:space="preserve"> são convidados a participar das reuniões e decisões, quando se tratam de temas </w:t>
      </w:r>
      <w:r w:rsidRPr="00F05A7A">
        <w:rPr>
          <w:rFonts w:ascii="Arial" w:hAnsi="Arial" w:cs="Arial"/>
          <w:sz w:val="24"/>
          <w:szCs w:val="24"/>
        </w:rPr>
        <w:lastRenderedPageBreak/>
        <w:t xml:space="preserve">específicos. </w:t>
      </w:r>
      <w:r w:rsidR="009F7FFD" w:rsidRPr="00F05A7A">
        <w:rPr>
          <w:rFonts w:ascii="Arial" w:hAnsi="Arial" w:cs="Arial"/>
          <w:sz w:val="24"/>
          <w:szCs w:val="24"/>
        </w:rPr>
        <w:t>A única restrição é que as pessoas físicas (representantes dos órgãos) componentes do comitê devem ser contadores devidamente habilitados e registrados.</w:t>
      </w:r>
    </w:p>
    <w:p w14:paraId="7A1EF12E" w14:textId="74FF05B5" w:rsidR="004E05A8" w:rsidRPr="00F05A7A" w:rsidRDefault="00E1652E"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As normativas emitidas pelo Comitê são denominadas ‘Pronunciamento Técnico’ seguido da sigla CPC e a numeração do mesmo, após isto, o título do tema abordado no pronunciamento, conforme segue: PRONUNCIAMENTO TÉCNICO CPC 01 - Redução ao Valor Recuperável de Ativos. Ou ainda, chama-se apenas por CPC 01 - Redução ao Valor Recuperável de Ativos. </w:t>
      </w:r>
    </w:p>
    <w:p w14:paraId="597E243E" w14:textId="77777777" w:rsidR="00755938" w:rsidRPr="00F05A7A" w:rsidRDefault="00755938" w:rsidP="00F05A7A">
      <w:pPr>
        <w:spacing w:after="0" w:line="360" w:lineRule="auto"/>
        <w:ind w:firstLine="567"/>
        <w:contextualSpacing/>
        <w:jc w:val="both"/>
        <w:rPr>
          <w:rFonts w:ascii="Arial" w:hAnsi="Arial" w:cs="Arial"/>
          <w:sz w:val="24"/>
          <w:szCs w:val="24"/>
        </w:rPr>
      </w:pPr>
    </w:p>
    <w:p w14:paraId="19AA232D" w14:textId="57422751" w:rsidR="003323A9" w:rsidRPr="00F05A7A" w:rsidRDefault="009D07B3" w:rsidP="00F05A7A">
      <w:pPr>
        <w:pStyle w:val="PargrafodaLista"/>
        <w:numPr>
          <w:ilvl w:val="1"/>
          <w:numId w:val="15"/>
        </w:numPr>
        <w:spacing w:after="0" w:line="360" w:lineRule="auto"/>
        <w:jc w:val="both"/>
        <w:rPr>
          <w:rFonts w:ascii="Arial" w:hAnsi="Arial" w:cs="Arial"/>
          <w:sz w:val="24"/>
          <w:szCs w:val="24"/>
        </w:rPr>
      </w:pPr>
      <w:r w:rsidRPr="00F05A7A">
        <w:rPr>
          <w:rFonts w:ascii="Arial" w:hAnsi="Arial" w:cs="Arial"/>
          <w:sz w:val="24"/>
          <w:szCs w:val="24"/>
        </w:rPr>
        <w:t xml:space="preserve"> </w:t>
      </w:r>
      <w:r w:rsidR="00773631" w:rsidRPr="00F05A7A">
        <w:rPr>
          <w:rFonts w:ascii="Arial" w:hAnsi="Arial" w:cs="Arial"/>
          <w:sz w:val="24"/>
          <w:szCs w:val="24"/>
        </w:rPr>
        <w:t>Normas Internacionais de Contabilidade</w:t>
      </w:r>
      <w:r w:rsidR="00D2595B" w:rsidRPr="00F05A7A">
        <w:rPr>
          <w:rFonts w:ascii="Arial" w:hAnsi="Arial" w:cs="Arial"/>
          <w:sz w:val="24"/>
          <w:szCs w:val="24"/>
        </w:rPr>
        <w:t xml:space="preserve"> no Brasil</w:t>
      </w:r>
    </w:p>
    <w:p w14:paraId="1AD85CFB" w14:textId="77777777" w:rsidR="00D53341" w:rsidRPr="00F05A7A" w:rsidRDefault="00D53341" w:rsidP="00F05A7A">
      <w:pPr>
        <w:spacing w:after="0" w:line="360" w:lineRule="auto"/>
        <w:ind w:firstLine="567"/>
        <w:contextualSpacing/>
        <w:jc w:val="both"/>
        <w:rPr>
          <w:rFonts w:ascii="Arial" w:hAnsi="Arial" w:cs="Arial"/>
          <w:sz w:val="24"/>
          <w:szCs w:val="24"/>
        </w:rPr>
      </w:pPr>
    </w:p>
    <w:p w14:paraId="298CDA8B" w14:textId="18DB66F6" w:rsidR="00333203" w:rsidRPr="00F05A7A" w:rsidRDefault="00E136FD"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Vista a necessidade da conformidade das informações contábeis no mundo, pelo aumento do comércio internacional</w:t>
      </w:r>
      <w:r w:rsidR="0099069E" w:rsidRPr="00F05A7A">
        <w:rPr>
          <w:rFonts w:ascii="Arial" w:hAnsi="Arial" w:cs="Arial"/>
          <w:sz w:val="24"/>
          <w:szCs w:val="24"/>
        </w:rPr>
        <w:t xml:space="preserve"> e principalmente o </w:t>
      </w:r>
      <w:r w:rsidR="00C038DA" w:rsidRPr="00F05A7A">
        <w:rPr>
          <w:rFonts w:ascii="Arial" w:hAnsi="Arial" w:cs="Arial"/>
          <w:sz w:val="24"/>
          <w:szCs w:val="24"/>
        </w:rPr>
        <w:t xml:space="preserve">pelo </w:t>
      </w:r>
      <w:r w:rsidR="0099069E" w:rsidRPr="00F05A7A">
        <w:rPr>
          <w:rFonts w:ascii="Arial" w:hAnsi="Arial" w:cs="Arial"/>
          <w:sz w:val="24"/>
          <w:szCs w:val="24"/>
        </w:rPr>
        <w:t xml:space="preserve">maior número de negociações no ramo de </w:t>
      </w:r>
      <w:r w:rsidRPr="00F05A7A">
        <w:rPr>
          <w:rFonts w:ascii="Arial" w:hAnsi="Arial" w:cs="Arial"/>
          <w:sz w:val="24"/>
          <w:szCs w:val="24"/>
        </w:rPr>
        <w:t>mercados de capitais, os órgãos brasileiros - concentrados no CPC - iniciaram a busca incessante para atualizar os padrões de demonstrações contábeis e alterar alguns cálculos e apurações cont</w:t>
      </w:r>
      <w:r w:rsidR="0099069E" w:rsidRPr="00F05A7A">
        <w:rPr>
          <w:rFonts w:ascii="Arial" w:hAnsi="Arial" w:cs="Arial"/>
          <w:sz w:val="24"/>
          <w:szCs w:val="24"/>
        </w:rPr>
        <w:t>ábeis para trazer uma melhor e mais precisa evidencia</w:t>
      </w:r>
      <w:r w:rsidR="008B0F9C" w:rsidRPr="00F05A7A">
        <w:rPr>
          <w:rFonts w:ascii="Arial" w:hAnsi="Arial" w:cs="Arial"/>
          <w:sz w:val="24"/>
          <w:szCs w:val="24"/>
        </w:rPr>
        <w:t>ção da real situação da empresa, de acordo com M</w:t>
      </w:r>
      <w:r w:rsidR="00333203" w:rsidRPr="00F05A7A">
        <w:rPr>
          <w:rFonts w:ascii="Arial" w:hAnsi="Arial" w:cs="Arial"/>
          <w:sz w:val="24"/>
          <w:szCs w:val="24"/>
        </w:rPr>
        <w:t>uel</w:t>
      </w:r>
      <w:r w:rsidR="00DF4A5B" w:rsidRPr="00F05A7A">
        <w:rPr>
          <w:rFonts w:ascii="Arial" w:hAnsi="Arial" w:cs="Arial"/>
          <w:sz w:val="24"/>
          <w:szCs w:val="24"/>
        </w:rPr>
        <w:t>l</w:t>
      </w:r>
      <w:r w:rsidR="00333203" w:rsidRPr="00F05A7A">
        <w:rPr>
          <w:rFonts w:ascii="Arial" w:hAnsi="Arial" w:cs="Arial"/>
          <w:sz w:val="24"/>
          <w:szCs w:val="24"/>
        </w:rPr>
        <w:t xml:space="preserve">er </w:t>
      </w:r>
      <w:r w:rsidR="008B0F9C" w:rsidRPr="00F05A7A">
        <w:rPr>
          <w:rFonts w:ascii="Arial" w:hAnsi="Arial" w:cs="Arial"/>
          <w:sz w:val="24"/>
          <w:szCs w:val="24"/>
        </w:rPr>
        <w:t>(</w:t>
      </w:r>
      <w:r w:rsidR="00333203" w:rsidRPr="00F05A7A">
        <w:rPr>
          <w:rFonts w:ascii="Arial" w:hAnsi="Arial" w:cs="Arial"/>
          <w:sz w:val="24"/>
          <w:szCs w:val="24"/>
        </w:rPr>
        <w:t>1965)</w:t>
      </w:r>
      <w:r w:rsidR="00951A18" w:rsidRPr="00F05A7A">
        <w:rPr>
          <w:rFonts w:ascii="Arial" w:hAnsi="Arial" w:cs="Arial"/>
          <w:sz w:val="24"/>
          <w:szCs w:val="24"/>
        </w:rPr>
        <w:t>.</w:t>
      </w:r>
    </w:p>
    <w:p w14:paraId="34914B43" w14:textId="26818DCB" w:rsidR="003323A9" w:rsidRPr="00F05A7A" w:rsidRDefault="0033476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No entanto, </w:t>
      </w:r>
      <w:r w:rsidR="00333203" w:rsidRPr="00F05A7A">
        <w:rPr>
          <w:rFonts w:ascii="Arial" w:hAnsi="Arial" w:cs="Arial"/>
          <w:sz w:val="24"/>
          <w:szCs w:val="24"/>
        </w:rPr>
        <w:t xml:space="preserve">de acordo com Ali (2005), </w:t>
      </w:r>
      <w:r w:rsidRPr="00F05A7A">
        <w:rPr>
          <w:rFonts w:ascii="Arial" w:hAnsi="Arial" w:cs="Arial"/>
          <w:sz w:val="24"/>
          <w:szCs w:val="24"/>
        </w:rPr>
        <w:t>por causar muitas alteraç</w:t>
      </w:r>
      <w:r w:rsidR="00E55813" w:rsidRPr="00F05A7A">
        <w:rPr>
          <w:rFonts w:ascii="Arial" w:hAnsi="Arial" w:cs="Arial"/>
          <w:sz w:val="24"/>
          <w:szCs w:val="24"/>
        </w:rPr>
        <w:t>ões, parte essencial para a implementação das normas internacionais era capacitar funcionários, elaborar novos relatórios, e padronizar as informaç</w:t>
      </w:r>
      <w:r w:rsidR="00150B01" w:rsidRPr="00F05A7A">
        <w:rPr>
          <w:rFonts w:ascii="Arial" w:hAnsi="Arial" w:cs="Arial"/>
          <w:sz w:val="24"/>
          <w:szCs w:val="24"/>
        </w:rPr>
        <w:t>ões, e estas necessidades geraram altos custos</w:t>
      </w:r>
      <w:r w:rsidR="00E55813" w:rsidRPr="00F05A7A">
        <w:rPr>
          <w:rFonts w:ascii="Arial" w:hAnsi="Arial" w:cs="Arial"/>
          <w:sz w:val="24"/>
          <w:szCs w:val="24"/>
        </w:rPr>
        <w:t xml:space="preserve"> </w:t>
      </w:r>
      <w:r w:rsidR="00150B01" w:rsidRPr="00F05A7A">
        <w:rPr>
          <w:rFonts w:ascii="Arial" w:hAnsi="Arial" w:cs="Arial"/>
          <w:sz w:val="24"/>
          <w:szCs w:val="24"/>
        </w:rPr>
        <w:t xml:space="preserve">fazendo com que o processo de padronização fosse, inicialmente, </w:t>
      </w:r>
      <w:r w:rsidR="00C038DA" w:rsidRPr="00F05A7A">
        <w:rPr>
          <w:rFonts w:ascii="Arial" w:hAnsi="Arial" w:cs="Arial"/>
          <w:sz w:val="24"/>
          <w:szCs w:val="24"/>
        </w:rPr>
        <w:t>visto de forma negativa</w:t>
      </w:r>
      <w:r w:rsidR="00333203" w:rsidRPr="00F05A7A">
        <w:rPr>
          <w:rFonts w:ascii="Arial" w:hAnsi="Arial" w:cs="Arial"/>
          <w:sz w:val="24"/>
          <w:szCs w:val="24"/>
        </w:rPr>
        <w:t xml:space="preserve"> por muitas empresas.</w:t>
      </w:r>
      <w:r w:rsidR="00150B01" w:rsidRPr="00F05A7A">
        <w:rPr>
          <w:rFonts w:ascii="Arial" w:hAnsi="Arial" w:cs="Arial"/>
          <w:sz w:val="24"/>
          <w:szCs w:val="24"/>
        </w:rPr>
        <w:t xml:space="preserve"> </w:t>
      </w:r>
    </w:p>
    <w:p w14:paraId="6CB73F62" w14:textId="733BF4AB" w:rsidR="00707E02" w:rsidRPr="00F05A7A" w:rsidRDefault="00707E02"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As leis que a</w:t>
      </w:r>
      <w:r w:rsidR="00AE378E" w:rsidRPr="00F05A7A">
        <w:rPr>
          <w:rFonts w:ascii="Arial" w:hAnsi="Arial" w:cs="Arial"/>
          <w:sz w:val="24"/>
          <w:szCs w:val="24"/>
        </w:rPr>
        <w:t xml:space="preserve">bordam </w:t>
      </w:r>
      <w:r w:rsidRPr="00F05A7A">
        <w:rPr>
          <w:rFonts w:ascii="Arial" w:hAnsi="Arial" w:cs="Arial"/>
          <w:sz w:val="24"/>
          <w:szCs w:val="24"/>
        </w:rPr>
        <w:t>as normas contábeis internacionais no Brasil são: 6.404/76, 11.638/07 e 11.941/09, porém, mesmo trazendo novas regras, elas são relativamente pequenas em questão de conteúdo, e é por este motivo que existem os pronunciamentos técnicos</w:t>
      </w:r>
      <w:r w:rsidR="00C02946" w:rsidRPr="00F05A7A">
        <w:rPr>
          <w:rFonts w:ascii="Arial" w:hAnsi="Arial" w:cs="Arial"/>
          <w:sz w:val="24"/>
          <w:szCs w:val="24"/>
        </w:rPr>
        <w:t>, que são</w:t>
      </w:r>
      <w:r w:rsidRPr="00F05A7A">
        <w:rPr>
          <w:rFonts w:ascii="Arial" w:hAnsi="Arial" w:cs="Arial"/>
          <w:sz w:val="24"/>
          <w:szCs w:val="24"/>
        </w:rPr>
        <w:t xml:space="preserve"> </w:t>
      </w:r>
      <w:r w:rsidR="00C02946" w:rsidRPr="00F05A7A">
        <w:rPr>
          <w:rFonts w:ascii="Arial" w:hAnsi="Arial" w:cs="Arial"/>
          <w:sz w:val="24"/>
          <w:szCs w:val="24"/>
        </w:rPr>
        <w:t xml:space="preserve">elaborados </w:t>
      </w:r>
      <w:r w:rsidRPr="00F05A7A">
        <w:rPr>
          <w:rFonts w:ascii="Arial" w:hAnsi="Arial" w:cs="Arial"/>
          <w:sz w:val="24"/>
          <w:szCs w:val="24"/>
        </w:rPr>
        <w:t xml:space="preserve">para explicar </w:t>
      </w:r>
      <w:r w:rsidR="00C02946" w:rsidRPr="00F05A7A">
        <w:rPr>
          <w:rFonts w:ascii="Arial" w:hAnsi="Arial" w:cs="Arial"/>
          <w:sz w:val="24"/>
          <w:szCs w:val="24"/>
        </w:rPr>
        <w:t>as exigências</w:t>
      </w:r>
      <w:r w:rsidRPr="00F05A7A">
        <w:rPr>
          <w:rFonts w:ascii="Arial" w:hAnsi="Arial" w:cs="Arial"/>
          <w:sz w:val="24"/>
          <w:szCs w:val="24"/>
        </w:rPr>
        <w:t xml:space="preserve"> trazidas pela lei, ou ainda, </w:t>
      </w:r>
      <w:r w:rsidR="00C02946" w:rsidRPr="00F05A7A">
        <w:rPr>
          <w:rFonts w:ascii="Arial" w:hAnsi="Arial" w:cs="Arial"/>
          <w:sz w:val="24"/>
          <w:szCs w:val="24"/>
        </w:rPr>
        <w:t xml:space="preserve">editar normas contábeis, conforme autorização dada ao </w:t>
      </w:r>
      <w:r w:rsidR="00F90ADE" w:rsidRPr="00F05A7A">
        <w:rPr>
          <w:rFonts w:ascii="Arial" w:hAnsi="Arial" w:cs="Arial"/>
          <w:sz w:val="24"/>
          <w:szCs w:val="24"/>
        </w:rPr>
        <w:t>C</w:t>
      </w:r>
      <w:r w:rsidR="00C02946" w:rsidRPr="00F05A7A">
        <w:rPr>
          <w:rFonts w:ascii="Arial" w:hAnsi="Arial" w:cs="Arial"/>
          <w:sz w:val="24"/>
          <w:szCs w:val="24"/>
        </w:rPr>
        <w:t xml:space="preserve">onselho </w:t>
      </w:r>
      <w:r w:rsidR="00F90ADE" w:rsidRPr="00F05A7A">
        <w:rPr>
          <w:rFonts w:ascii="Arial" w:hAnsi="Arial" w:cs="Arial"/>
          <w:sz w:val="24"/>
          <w:szCs w:val="24"/>
        </w:rPr>
        <w:t>F</w:t>
      </w:r>
      <w:r w:rsidR="00C02946" w:rsidRPr="00F05A7A">
        <w:rPr>
          <w:rFonts w:ascii="Arial" w:hAnsi="Arial" w:cs="Arial"/>
          <w:sz w:val="24"/>
          <w:szCs w:val="24"/>
        </w:rPr>
        <w:t xml:space="preserve">ederal de </w:t>
      </w:r>
      <w:r w:rsidR="00F90ADE" w:rsidRPr="00F05A7A">
        <w:rPr>
          <w:rFonts w:ascii="Arial" w:hAnsi="Arial" w:cs="Arial"/>
          <w:sz w:val="24"/>
          <w:szCs w:val="24"/>
        </w:rPr>
        <w:t>C</w:t>
      </w:r>
      <w:r w:rsidR="00C02946" w:rsidRPr="00F05A7A">
        <w:rPr>
          <w:rFonts w:ascii="Arial" w:hAnsi="Arial" w:cs="Arial"/>
          <w:sz w:val="24"/>
          <w:szCs w:val="24"/>
        </w:rPr>
        <w:t>ontabilidade para tal</w:t>
      </w:r>
      <w:r w:rsidR="00AE378E" w:rsidRPr="00F05A7A">
        <w:rPr>
          <w:rFonts w:ascii="Arial" w:hAnsi="Arial" w:cs="Arial"/>
          <w:sz w:val="24"/>
          <w:szCs w:val="24"/>
        </w:rPr>
        <w:t>,</w:t>
      </w:r>
      <w:r w:rsidR="00C02946" w:rsidRPr="00F05A7A">
        <w:rPr>
          <w:rFonts w:ascii="Arial" w:hAnsi="Arial" w:cs="Arial"/>
          <w:sz w:val="24"/>
          <w:szCs w:val="24"/>
        </w:rPr>
        <w:t xml:space="preserve"> conf</w:t>
      </w:r>
      <w:r w:rsidR="00F90ADE" w:rsidRPr="00F05A7A">
        <w:rPr>
          <w:rFonts w:ascii="Arial" w:hAnsi="Arial" w:cs="Arial"/>
          <w:sz w:val="24"/>
          <w:szCs w:val="24"/>
        </w:rPr>
        <w:t>orme artigo 76 da lei 12.249/10, que acerca das responsabilidades do CFC diz: “</w:t>
      </w:r>
      <w:r w:rsidR="00AE378E" w:rsidRPr="00F05A7A">
        <w:rPr>
          <w:rFonts w:ascii="Arial" w:hAnsi="Arial" w:cs="Arial"/>
          <w:sz w:val="24"/>
          <w:szCs w:val="24"/>
        </w:rPr>
        <w:t xml:space="preserve">[...] </w:t>
      </w:r>
      <w:r w:rsidR="00F90ADE" w:rsidRPr="00F05A7A">
        <w:rPr>
          <w:rFonts w:ascii="Arial" w:hAnsi="Arial" w:cs="Arial"/>
          <w:sz w:val="24"/>
          <w:szCs w:val="24"/>
        </w:rPr>
        <w:t>editar Normas Brasileiras de Contabilidade de natureza técnica e profissional.” (Lei 12.249/10, art. 76).</w:t>
      </w:r>
    </w:p>
    <w:p w14:paraId="62B2EB07" w14:textId="77777777" w:rsidR="00D53341" w:rsidRPr="00F05A7A" w:rsidRDefault="00D53341" w:rsidP="00F05A7A">
      <w:pPr>
        <w:spacing w:after="0" w:line="240" w:lineRule="auto"/>
        <w:ind w:left="2268"/>
        <w:contextualSpacing/>
        <w:jc w:val="both"/>
        <w:rPr>
          <w:rFonts w:ascii="Arial" w:hAnsi="Arial" w:cs="Arial"/>
          <w:sz w:val="20"/>
          <w:szCs w:val="20"/>
        </w:rPr>
      </w:pPr>
    </w:p>
    <w:p w14:paraId="36A2AAEF" w14:textId="5CE29562" w:rsidR="00F90ADE" w:rsidRPr="00F05A7A" w:rsidRDefault="00F90ADE" w:rsidP="00F05A7A">
      <w:pPr>
        <w:spacing w:after="0" w:line="240" w:lineRule="auto"/>
        <w:ind w:left="2268"/>
        <w:contextualSpacing/>
        <w:jc w:val="both"/>
        <w:rPr>
          <w:rFonts w:ascii="Arial" w:hAnsi="Arial" w:cs="Arial"/>
        </w:rPr>
      </w:pPr>
      <w:r w:rsidRPr="00F05A7A">
        <w:rPr>
          <w:rFonts w:ascii="Arial" w:hAnsi="Arial" w:cs="Arial"/>
        </w:rPr>
        <w:t>Assim sendo, por força dessa lei, todas as normas aprovadas pelo CFC originadas do CPC, aderindo às normas de contabilidade internacional, deverão ser seguidas pela classe contábil.</w:t>
      </w:r>
    </w:p>
    <w:p w14:paraId="3B1E928F" w14:textId="010A5D81" w:rsidR="00F90ADE" w:rsidRPr="00F05A7A" w:rsidRDefault="00F90ADE" w:rsidP="00F05A7A">
      <w:pPr>
        <w:spacing w:after="0" w:line="240" w:lineRule="auto"/>
        <w:ind w:left="2268"/>
        <w:contextualSpacing/>
        <w:jc w:val="both"/>
        <w:rPr>
          <w:rFonts w:ascii="Arial" w:hAnsi="Arial" w:cs="Arial"/>
        </w:rPr>
      </w:pPr>
      <w:r w:rsidRPr="00F05A7A">
        <w:rPr>
          <w:rFonts w:ascii="Arial" w:hAnsi="Arial" w:cs="Arial"/>
        </w:rPr>
        <w:t xml:space="preserve">O Conselho Federal de Contabilidade (CFC) emite suas normas interpretações e comunicados técnicos de forma convergente com as </w:t>
      </w:r>
      <w:r w:rsidRPr="00F05A7A">
        <w:rPr>
          <w:rFonts w:ascii="Arial" w:hAnsi="Arial" w:cs="Arial"/>
        </w:rPr>
        <w:lastRenderedPageBreak/>
        <w:t>Normas Internacionais de Contabi</w:t>
      </w:r>
      <w:r w:rsidR="00085D21" w:rsidRPr="00F05A7A">
        <w:rPr>
          <w:rFonts w:ascii="Arial" w:hAnsi="Arial" w:cs="Arial"/>
        </w:rPr>
        <w:t>lidade emitidas pelo IASB [...]</w:t>
      </w:r>
      <w:r w:rsidRPr="00F05A7A">
        <w:rPr>
          <w:rFonts w:ascii="Arial" w:hAnsi="Arial" w:cs="Arial"/>
        </w:rPr>
        <w:t xml:space="preserve"> (AZEVEDO, 2010, p. 26).</w:t>
      </w:r>
    </w:p>
    <w:p w14:paraId="37757413" w14:textId="77777777" w:rsidR="0032701A" w:rsidRPr="00F05A7A" w:rsidRDefault="0032701A" w:rsidP="00F05A7A">
      <w:pPr>
        <w:spacing w:after="0" w:line="360" w:lineRule="auto"/>
        <w:ind w:left="2268"/>
        <w:contextualSpacing/>
        <w:jc w:val="both"/>
        <w:rPr>
          <w:rFonts w:ascii="Arial" w:hAnsi="Arial" w:cs="Arial"/>
          <w:sz w:val="20"/>
          <w:szCs w:val="20"/>
        </w:rPr>
      </w:pPr>
    </w:p>
    <w:p w14:paraId="0EC54474" w14:textId="45C537E5" w:rsidR="00E50B65" w:rsidRPr="00F05A7A" w:rsidRDefault="0032701A"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Desta forma, o Comitê de Pronunciamento Contábil é atualmente o maior regulador das normas contábeis no país, buscando sempre, através de seus pronunciamentos, a harmonização contábil internacional, bem como regulamentar os procedimentos ou demonstrações contábeis a fim de satisfazer a necessidade dos usuários das informações contábeis. </w:t>
      </w:r>
    </w:p>
    <w:p w14:paraId="39FE3338" w14:textId="77777777" w:rsidR="0032701A" w:rsidRPr="00F05A7A" w:rsidRDefault="0032701A" w:rsidP="00F05A7A">
      <w:pPr>
        <w:spacing w:after="0" w:line="360" w:lineRule="auto"/>
        <w:ind w:firstLine="567"/>
        <w:contextualSpacing/>
        <w:jc w:val="both"/>
        <w:rPr>
          <w:rFonts w:ascii="Arial" w:hAnsi="Arial" w:cs="Arial"/>
          <w:sz w:val="24"/>
          <w:szCs w:val="24"/>
        </w:rPr>
      </w:pPr>
    </w:p>
    <w:p w14:paraId="40DFDCF3" w14:textId="0B587FDB" w:rsidR="003323A9" w:rsidRPr="00F05A7A" w:rsidRDefault="000747DB" w:rsidP="00F05A7A">
      <w:pPr>
        <w:pStyle w:val="PargrafodaLista"/>
        <w:numPr>
          <w:ilvl w:val="1"/>
          <w:numId w:val="15"/>
        </w:numPr>
        <w:spacing w:after="0" w:line="360" w:lineRule="auto"/>
        <w:jc w:val="both"/>
        <w:rPr>
          <w:rFonts w:ascii="Arial" w:hAnsi="Arial" w:cs="Arial"/>
          <w:sz w:val="24"/>
          <w:szCs w:val="24"/>
        </w:rPr>
      </w:pPr>
      <w:r w:rsidRPr="00F05A7A">
        <w:rPr>
          <w:rFonts w:ascii="Arial" w:hAnsi="Arial" w:cs="Arial"/>
          <w:sz w:val="24"/>
          <w:szCs w:val="24"/>
        </w:rPr>
        <w:t>As</w:t>
      </w:r>
      <w:r w:rsidR="00085D21" w:rsidRPr="00F05A7A">
        <w:rPr>
          <w:rFonts w:ascii="Arial" w:hAnsi="Arial" w:cs="Arial"/>
          <w:sz w:val="24"/>
          <w:szCs w:val="24"/>
        </w:rPr>
        <w:t xml:space="preserve"> Novas O</w:t>
      </w:r>
      <w:r w:rsidR="00773631" w:rsidRPr="00F05A7A">
        <w:rPr>
          <w:rFonts w:ascii="Arial" w:hAnsi="Arial" w:cs="Arial"/>
          <w:sz w:val="24"/>
          <w:szCs w:val="24"/>
        </w:rPr>
        <w:t xml:space="preserve">brigações </w:t>
      </w:r>
      <w:r w:rsidRPr="00F05A7A">
        <w:rPr>
          <w:rFonts w:ascii="Arial" w:hAnsi="Arial" w:cs="Arial"/>
          <w:sz w:val="24"/>
          <w:szCs w:val="24"/>
        </w:rPr>
        <w:t xml:space="preserve">da Contabilidade </w:t>
      </w:r>
      <w:r w:rsidR="00CD0E61" w:rsidRPr="00F05A7A">
        <w:rPr>
          <w:rFonts w:ascii="Arial" w:hAnsi="Arial" w:cs="Arial"/>
          <w:sz w:val="24"/>
          <w:szCs w:val="24"/>
        </w:rPr>
        <w:t>Internacional</w:t>
      </w:r>
      <w:r w:rsidR="00085D21" w:rsidRPr="00F05A7A">
        <w:rPr>
          <w:rFonts w:ascii="Arial" w:hAnsi="Arial" w:cs="Arial"/>
          <w:sz w:val="24"/>
          <w:szCs w:val="24"/>
        </w:rPr>
        <w:t xml:space="preserve"> Sob o Aspecto S</w:t>
      </w:r>
      <w:r w:rsidR="00362F0B" w:rsidRPr="00F05A7A">
        <w:rPr>
          <w:rFonts w:ascii="Arial" w:hAnsi="Arial" w:cs="Arial"/>
          <w:sz w:val="24"/>
          <w:szCs w:val="24"/>
        </w:rPr>
        <w:t>ocietário</w:t>
      </w:r>
    </w:p>
    <w:p w14:paraId="15347EFE" w14:textId="77777777" w:rsidR="00D53341" w:rsidRPr="00F05A7A" w:rsidRDefault="00D53341" w:rsidP="00F05A7A">
      <w:pPr>
        <w:spacing w:after="0" w:line="360" w:lineRule="auto"/>
        <w:ind w:firstLine="567"/>
        <w:contextualSpacing/>
        <w:jc w:val="both"/>
        <w:rPr>
          <w:rFonts w:ascii="Arial" w:hAnsi="Arial" w:cs="Arial"/>
          <w:sz w:val="24"/>
          <w:szCs w:val="24"/>
        </w:rPr>
      </w:pPr>
    </w:p>
    <w:p w14:paraId="10875DAB" w14:textId="0FF9337B" w:rsidR="005C6BB9" w:rsidRPr="00F05A7A" w:rsidRDefault="0081381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Para Soares (2011), a sanção da Lei nº 11.638 de 28 de dezembro de 2007 que promoveu substanciais alterações na Lei nº 6.404/76 foi o primeiro passo à convergência as normas internacionais de contabilidade, já a conversão da medida provisória nº 449 de 2008 em Lei, sob nº 11.941/2009 que também trouxe alterações a já citada Lei º 6.404/76 foi a conclusão do processo de convergência aos padrões contábeis internacionais.</w:t>
      </w:r>
    </w:p>
    <w:p w14:paraId="6638BE5D" w14:textId="73304EB7" w:rsidR="00813818" w:rsidRPr="00F05A7A" w:rsidRDefault="0081381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Para poder se adequar ao padrão internacional, as legislações citadas acima trouxeram mudanças dentro do âmbito contábil brasileiro, tanto nas estruturas dos demonstrativos, quanto nos cálculos e escriturações que aconteciam no país. </w:t>
      </w:r>
      <w:r w:rsidR="00E638A0" w:rsidRPr="00F05A7A">
        <w:rPr>
          <w:rFonts w:ascii="Arial" w:hAnsi="Arial" w:cs="Arial"/>
          <w:sz w:val="24"/>
          <w:szCs w:val="24"/>
        </w:rPr>
        <w:t xml:space="preserve">Outro ponto importante trazido pela lei 11.941/09 foi a </w:t>
      </w:r>
      <w:r w:rsidR="00FB77A1" w:rsidRPr="00F05A7A">
        <w:rPr>
          <w:rFonts w:ascii="Arial" w:hAnsi="Arial" w:cs="Arial"/>
          <w:sz w:val="24"/>
          <w:szCs w:val="24"/>
        </w:rPr>
        <w:t>segregação da contabilidade fiscal e da contabilidade societária, conforme vê-se a seguir:</w:t>
      </w:r>
    </w:p>
    <w:p w14:paraId="19F88CC0" w14:textId="77777777" w:rsidR="00D53341" w:rsidRPr="00F05A7A" w:rsidRDefault="00D53341" w:rsidP="00F05A7A">
      <w:pPr>
        <w:spacing w:after="0" w:line="360" w:lineRule="auto"/>
        <w:ind w:left="2268"/>
        <w:contextualSpacing/>
        <w:jc w:val="both"/>
        <w:rPr>
          <w:rFonts w:ascii="Arial" w:hAnsi="Arial" w:cs="Arial"/>
          <w:sz w:val="20"/>
          <w:szCs w:val="20"/>
        </w:rPr>
      </w:pPr>
    </w:p>
    <w:p w14:paraId="24FD9683" w14:textId="4822C292" w:rsidR="00FB77A1" w:rsidRPr="00F05A7A" w:rsidRDefault="00FB77A1" w:rsidP="00F05A7A">
      <w:pPr>
        <w:spacing w:after="0" w:line="240" w:lineRule="auto"/>
        <w:ind w:left="2268"/>
        <w:contextualSpacing/>
        <w:jc w:val="both"/>
        <w:rPr>
          <w:rFonts w:ascii="Arial" w:hAnsi="Arial" w:cs="Arial"/>
        </w:rPr>
      </w:pPr>
      <w:r w:rsidRPr="00F05A7A">
        <w:rPr>
          <w:rFonts w:ascii="Arial" w:hAnsi="Arial" w:cs="Arial"/>
        </w:rPr>
        <w:t xml:space="preserve">A segregação entre a Contabilidade elaborada para fins fiscais e a Contabilidade empresarial visa fornecer informações sobre a real situação financeira e a performance da empresa, possibilitando previamente preparar as suas demonstrações financeiras alinhadas com as regras contábeis brasileiras e as normais internacionais. </w:t>
      </w:r>
    </w:p>
    <w:p w14:paraId="3D92F9EA" w14:textId="77DB8AA4" w:rsidR="00FB77A1" w:rsidRPr="00F05A7A" w:rsidRDefault="00FB77A1" w:rsidP="00F05A7A">
      <w:pPr>
        <w:spacing w:after="0" w:line="240" w:lineRule="auto"/>
        <w:ind w:left="2268"/>
        <w:contextualSpacing/>
        <w:jc w:val="both"/>
        <w:rPr>
          <w:rFonts w:ascii="Arial" w:hAnsi="Arial" w:cs="Arial"/>
        </w:rPr>
      </w:pPr>
      <w:r w:rsidRPr="00F05A7A">
        <w:rPr>
          <w:rFonts w:ascii="Arial" w:hAnsi="Arial" w:cs="Arial"/>
        </w:rPr>
        <w:t>Visa também harmonizar a escrituração contábil ao regime de competência, ainda que a legislação fiscal ofereça condiç</w:t>
      </w:r>
      <w:r w:rsidR="00085D21" w:rsidRPr="00F05A7A">
        <w:rPr>
          <w:rFonts w:ascii="Arial" w:hAnsi="Arial" w:cs="Arial"/>
        </w:rPr>
        <w:t>ões de práticas diferentes[...]</w:t>
      </w:r>
      <w:r w:rsidRPr="00F05A7A">
        <w:rPr>
          <w:rFonts w:ascii="Arial" w:hAnsi="Arial" w:cs="Arial"/>
        </w:rPr>
        <w:t xml:space="preserve"> (AZEVEDO, 2010, p.</w:t>
      </w:r>
      <w:r w:rsidR="00AE378E" w:rsidRPr="00F05A7A">
        <w:rPr>
          <w:rFonts w:ascii="Arial" w:hAnsi="Arial" w:cs="Arial"/>
        </w:rPr>
        <w:t xml:space="preserve"> </w:t>
      </w:r>
      <w:r w:rsidRPr="00F05A7A">
        <w:rPr>
          <w:rFonts w:ascii="Arial" w:hAnsi="Arial" w:cs="Arial"/>
        </w:rPr>
        <w:t>67).</w:t>
      </w:r>
    </w:p>
    <w:p w14:paraId="5C53F90F" w14:textId="77777777" w:rsidR="00FB77A1" w:rsidRPr="00F05A7A" w:rsidRDefault="00FB77A1" w:rsidP="00F05A7A">
      <w:pPr>
        <w:spacing w:after="0" w:line="360" w:lineRule="auto"/>
        <w:ind w:left="2268"/>
        <w:contextualSpacing/>
        <w:jc w:val="both"/>
        <w:rPr>
          <w:rFonts w:ascii="Arial" w:hAnsi="Arial" w:cs="Arial"/>
          <w:sz w:val="24"/>
          <w:szCs w:val="24"/>
        </w:rPr>
      </w:pPr>
    </w:p>
    <w:p w14:paraId="342121C5" w14:textId="02736CE8" w:rsidR="001060AA" w:rsidRPr="00F05A7A" w:rsidRDefault="00FB77A1"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No entanto, o foco deste trabalho não será a segregação da contabilidade fiscal da societária, bem como não serão abordadas as mudanças estrutur</w:t>
      </w:r>
      <w:r w:rsidR="00AE378E" w:rsidRPr="00F05A7A">
        <w:rPr>
          <w:rFonts w:ascii="Arial" w:hAnsi="Arial" w:cs="Arial"/>
          <w:sz w:val="24"/>
          <w:szCs w:val="24"/>
        </w:rPr>
        <w:t>ais das demonstrações contábeis ou as novas demonstrações contábeis obrigatórias trazidas pela legislação.</w:t>
      </w:r>
      <w:r w:rsidRPr="00F05A7A">
        <w:rPr>
          <w:rFonts w:ascii="Arial" w:hAnsi="Arial" w:cs="Arial"/>
          <w:sz w:val="24"/>
          <w:szCs w:val="24"/>
        </w:rPr>
        <w:t xml:space="preserve"> O foco deste artigo será</w:t>
      </w:r>
      <w:r w:rsidR="000747DB" w:rsidRPr="00F05A7A">
        <w:rPr>
          <w:rFonts w:ascii="Arial" w:hAnsi="Arial" w:cs="Arial"/>
          <w:sz w:val="24"/>
          <w:szCs w:val="24"/>
        </w:rPr>
        <w:t xml:space="preserve"> a contabilidade societária</w:t>
      </w:r>
      <w:r w:rsidRPr="00F05A7A">
        <w:rPr>
          <w:rFonts w:ascii="Arial" w:hAnsi="Arial" w:cs="Arial"/>
          <w:sz w:val="24"/>
          <w:szCs w:val="24"/>
        </w:rPr>
        <w:t>,</w:t>
      </w:r>
      <w:r w:rsidR="000747DB" w:rsidRPr="00F05A7A">
        <w:rPr>
          <w:rFonts w:ascii="Arial" w:hAnsi="Arial" w:cs="Arial"/>
          <w:sz w:val="24"/>
          <w:szCs w:val="24"/>
        </w:rPr>
        <w:t xml:space="preserve"> mais precisamente,</w:t>
      </w:r>
      <w:r w:rsidRPr="00F05A7A">
        <w:rPr>
          <w:rFonts w:ascii="Arial" w:hAnsi="Arial" w:cs="Arial"/>
          <w:sz w:val="24"/>
          <w:szCs w:val="24"/>
        </w:rPr>
        <w:t xml:space="preserve"> </w:t>
      </w:r>
      <w:r w:rsidR="00AE378E" w:rsidRPr="00F05A7A">
        <w:rPr>
          <w:rFonts w:ascii="Arial" w:hAnsi="Arial" w:cs="Arial"/>
          <w:sz w:val="24"/>
          <w:szCs w:val="24"/>
        </w:rPr>
        <w:t xml:space="preserve">o cálculo </w:t>
      </w:r>
      <w:r w:rsidRPr="00F05A7A">
        <w:rPr>
          <w:rFonts w:ascii="Arial" w:hAnsi="Arial" w:cs="Arial"/>
          <w:sz w:val="24"/>
          <w:szCs w:val="24"/>
        </w:rPr>
        <w:t xml:space="preserve">e a escrituração dos </w:t>
      </w:r>
      <w:r w:rsidR="00AE378E" w:rsidRPr="00F05A7A">
        <w:rPr>
          <w:rFonts w:ascii="Arial" w:hAnsi="Arial" w:cs="Arial"/>
          <w:sz w:val="24"/>
          <w:szCs w:val="24"/>
        </w:rPr>
        <w:t>ajustes propostos na legislação, para melhor transparên</w:t>
      </w:r>
      <w:r w:rsidR="000747DB" w:rsidRPr="00F05A7A">
        <w:rPr>
          <w:rFonts w:ascii="Arial" w:hAnsi="Arial" w:cs="Arial"/>
          <w:sz w:val="24"/>
          <w:szCs w:val="24"/>
        </w:rPr>
        <w:t>cia da real situação da empresa.</w:t>
      </w:r>
    </w:p>
    <w:p w14:paraId="3EEA9EE7" w14:textId="77777777" w:rsidR="009D07B3" w:rsidRPr="00F05A7A" w:rsidRDefault="009D07B3" w:rsidP="00F05A7A">
      <w:pPr>
        <w:spacing w:after="0" w:line="360" w:lineRule="auto"/>
        <w:contextualSpacing/>
        <w:jc w:val="both"/>
        <w:rPr>
          <w:rFonts w:ascii="Arial" w:hAnsi="Arial" w:cs="Arial"/>
          <w:sz w:val="24"/>
          <w:szCs w:val="24"/>
        </w:rPr>
      </w:pPr>
    </w:p>
    <w:p w14:paraId="702D3DC8" w14:textId="564A6FF2" w:rsidR="00951A18" w:rsidRPr="00F05A7A" w:rsidRDefault="00951A18" w:rsidP="00F05A7A">
      <w:pPr>
        <w:pStyle w:val="PargrafodaLista"/>
        <w:numPr>
          <w:ilvl w:val="2"/>
          <w:numId w:val="15"/>
        </w:numPr>
        <w:spacing w:after="0" w:line="360" w:lineRule="auto"/>
        <w:jc w:val="both"/>
        <w:rPr>
          <w:rFonts w:ascii="Arial" w:hAnsi="Arial" w:cs="Arial"/>
          <w:sz w:val="24"/>
          <w:szCs w:val="24"/>
        </w:rPr>
      </w:pPr>
      <w:r w:rsidRPr="00F05A7A">
        <w:rPr>
          <w:rFonts w:ascii="Arial" w:hAnsi="Arial" w:cs="Arial"/>
          <w:sz w:val="24"/>
          <w:szCs w:val="24"/>
        </w:rPr>
        <w:t xml:space="preserve">Reserva de </w:t>
      </w:r>
      <w:r w:rsidR="00085D21" w:rsidRPr="00F05A7A">
        <w:rPr>
          <w:rFonts w:ascii="Arial" w:hAnsi="Arial" w:cs="Arial"/>
          <w:sz w:val="24"/>
          <w:szCs w:val="24"/>
        </w:rPr>
        <w:t>capital, reservas de lucros e dividendos</w:t>
      </w:r>
    </w:p>
    <w:p w14:paraId="6F3C573F" w14:textId="77777777" w:rsidR="00D53341" w:rsidRPr="00F05A7A" w:rsidRDefault="00D53341" w:rsidP="00F05A7A">
      <w:pPr>
        <w:spacing w:after="0" w:line="360" w:lineRule="auto"/>
        <w:ind w:firstLine="567"/>
        <w:contextualSpacing/>
        <w:jc w:val="both"/>
        <w:rPr>
          <w:rFonts w:ascii="Arial" w:hAnsi="Arial" w:cs="Arial"/>
          <w:sz w:val="24"/>
          <w:szCs w:val="24"/>
        </w:rPr>
      </w:pPr>
    </w:p>
    <w:p w14:paraId="763A68CF" w14:textId="77777777" w:rsidR="00951A18" w:rsidRPr="00F05A7A" w:rsidRDefault="00951A1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Dispostos na lei 6.404/76 as reservas de lucros e os dividendos são componentes do patrimônio líquido, bem como a reserva de capital, sendo suas fontes de obtenção de valores diferenciadas. Para os dois primeiros, tem-se o lucro da empresa no período apurado, já o último tem seus valores recebidos de operações que não envolvam contas de resultado da empresa, como exemplo, tem-se as transações de capitais com os sócios.</w:t>
      </w:r>
    </w:p>
    <w:p w14:paraId="05A3D367" w14:textId="77777777" w:rsidR="00755938" w:rsidRPr="00F05A7A" w:rsidRDefault="00755938" w:rsidP="00F05A7A">
      <w:pPr>
        <w:spacing w:after="0" w:line="360" w:lineRule="auto"/>
        <w:ind w:left="2268"/>
        <w:contextualSpacing/>
        <w:jc w:val="both"/>
        <w:rPr>
          <w:rFonts w:ascii="Arial" w:hAnsi="Arial" w:cs="Arial"/>
        </w:rPr>
      </w:pPr>
    </w:p>
    <w:p w14:paraId="0A1D60F7" w14:textId="13171FF7"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O patrimônio líquido deve apresentar o capital social, as reservas de capital, os ajustes de avaliação patrimonial, as reservas de lucros, as ações ou quotas em tesouraria, os prejuízos acumulados, se legalmente admitidos os lucros acumulados e as demais contas exigidas pelos Pronunciame</w:t>
      </w:r>
      <w:r w:rsidR="00085D21" w:rsidRPr="00F05A7A">
        <w:rPr>
          <w:rFonts w:ascii="Arial" w:hAnsi="Arial" w:cs="Arial"/>
        </w:rPr>
        <w:t>ntos Técnicos emitidos pelo CPC</w:t>
      </w:r>
      <w:r w:rsidRPr="00F05A7A">
        <w:rPr>
          <w:rFonts w:ascii="Arial" w:hAnsi="Arial" w:cs="Arial"/>
        </w:rPr>
        <w:t xml:space="preserve"> (CPC 26, 2011, p. 31).</w:t>
      </w:r>
    </w:p>
    <w:p w14:paraId="241DA66B" w14:textId="77777777" w:rsidR="00951A18" w:rsidRPr="00F05A7A" w:rsidRDefault="00951A18" w:rsidP="00F05A7A">
      <w:pPr>
        <w:spacing w:after="0" w:line="360" w:lineRule="auto"/>
        <w:ind w:left="2268"/>
        <w:contextualSpacing/>
        <w:jc w:val="both"/>
        <w:rPr>
          <w:rFonts w:ascii="Arial" w:hAnsi="Arial" w:cs="Arial"/>
          <w:sz w:val="20"/>
          <w:szCs w:val="20"/>
        </w:rPr>
      </w:pPr>
    </w:p>
    <w:p w14:paraId="208623AD" w14:textId="77777777" w:rsidR="00951A18" w:rsidRPr="00F05A7A" w:rsidRDefault="00951A18"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Para reservas de capital tem-se a seguinte definição: </w:t>
      </w:r>
    </w:p>
    <w:p w14:paraId="78EC003F" w14:textId="77777777" w:rsidR="00D53341" w:rsidRPr="00F05A7A" w:rsidRDefault="00D53341" w:rsidP="00F05A7A">
      <w:pPr>
        <w:spacing w:after="0" w:line="360" w:lineRule="auto"/>
        <w:ind w:left="2268"/>
        <w:contextualSpacing/>
        <w:jc w:val="both"/>
        <w:rPr>
          <w:rFonts w:ascii="Arial" w:hAnsi="Arial" w:cs="Arial"/>
          <w:sz w:val="20"/>
          <w:szCs w:val="20"/>
        </w:rPr>
      </w:pPr>
    </w:p>
    <w:p w14:paraId="631530CC" w14:textId="0A2F5B5C"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As reservas de Capital são constituídas de valores recebidos pela companhia e que não transitam pelo Resultado como receitas, por se referirem a valores destinados a reforço de seu capital, sem terem como contrapartidas qualquer esforço da empresa em termos de entrega d</w:t>
      </w:r>
      <w:r w:rsidR="00085D21" w:rsidRPr="00F05A7A">
        <w:rPr>
          <w:rFonts w:ascii="Arial" w:hAnsi="Arial" w:cs="Arial"/>
        </w:rPr>
        <w:t>e bens ou prestação de serviços</w:t>
      </w:r>
      <w:r w:rsidRPr="00F05A7A">
        <w:rPr>
          <w:rFonts w:ascii="Arial" w:hAnsi="Arial" w:cs="Arial"/>
        </w:rPr>
        <w:t xml:space="preserve"> (IUDÍCIBUS,</w:t>
      </w:r>
      <w:r w:rsidR="00755938" w:rsidRPr="00F05A7A">
        <w:rPr>
          <w:rFonts w:ascii="Arial" w:hAnsi="Arial" w:cs="Arial"/>
        </w:rPr>
        <w:t xml:space="preserve"> et.al.,</w:t>
      </w:r>
      <w:r w:rsidRPr="00F05A7A">
        <w:rPr>
          <w:rFonts w:ascii="Arial" w:hAnsi="Arial" w:cs="Arial"/>
        </w:rPr>
        <w:t xml:space="preserve"> 2011, p. 15).</w:t>
      </w:r>
    </w:p>
    <w:p w14:paraId="3EFDDBE0" w14:textId="77777777" w:rsidR="00951A18" w:rsidRPr="00F05A7A" w:rsidRDefault="00951A18" w:rsidP="00F05A7A">
      <w:pPr>
        <w:spacing w:after="0" w:line="360" w:lineRule="auto"/>
        <w:ind w:left="2268"/>
        <w:contextualSpacing/>
        <w:jc w:val="both"/>
        <w:rPr>
          <w:rFonts w:ascii="Arial" w:hAnsi="Arial" w:cs="Arial"/>
          <w:sz w:val="20"/>
          <w:szCs w:val="20"/>
        </w:rPr>
      </w:pPr>
    </w:p>
    <w:p w14:paraId="2BE8EB14" w14:textId="77777777" w:rsidR="00951A18" w:rsidRPr="00F05A7A" w:rsidRDefault="00951A18"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Deste modo, nenhum valor recebido por terceiros deve ser registrado na conta de Reserva de Capital, bem como recebimentos de sócios quando houver uma contrapartida por parte da entidade, ou seja, quando o sócio é beneficiado com a utilização da atividade da empresa (aquisição de mercadoria ou prestação de serviços) ou ainda com o recebimento de algum bem não vinculado a atividade operacional padrão da empresa. </w:t>
      </w:r>
    </w:p>
    <w:p w14:paraId="218F3BC7" w14:textId="7720D6B0" w:rsidR="00951A18" w:rsidRPr="00F05A7A" w:rsidRDefault="00951A1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Já para as reservas de lucro, só poderá ser lançado nas contas os montantes advindos do lucro do exercício, e este pode ser ainda subdivido em </w:t>
      </w:r>
      <w:r w:rsidR="008D377C" w:rsidRPr="00F05A7A">
        <w:rPr>
          <w:rFonts w:ascii="Arial" w:hAnsi="Arial" w:cs="Arial"/>
          <w:sz w:val="24"/>
          <w:szCs w:val="24"/>
        </w:rPr>
        <w:t xml:space="preserve">seis </w:t>
      </w:r>
      <w:r w:rsidRPr="00F05A7A">
        <w:rPr>
          <w:rFonts w:ascii="Arial" w:hAnsi="Arial" w:cs="Arial"/>
          <w:sz w:val="24"/>
          <w:szCs w:val="24"/>
        </w:rPr>
        <w:t>contas diferenciadas, com exceção dos dividendos obrigatórios, cada qual com suas regras e percentuais a serem seguidas, que são elas: Reserva Legal, Reservas Estatutárias, Reservas para Contingências, Reservas de Lucros a Realizar, Reservas de Incentivos Fiscais e Reserva Especial para Dividendo Obrigatório Não Distribuído.</w:t>
      </w:r>
      <w:r w:rsidR="001400BB" w:rsidRPr="00F05A7A">
        <w:rPr>
          <w:rFonts w:ascii="Arial" w:hAnsi="Arial" w:cs="Arial"/>
          <w:sz w:val="24"/>
          <w:szCs w:val="24"/>
        </w:rPr>
        <w:t xml:space="preserve"> (Lei 6.404, 1976).</w:t>
      </w:r>
    </w:p>
    <w:p w14:paraId="0EF50F26" w14:textId="77777777" w:rsidR="00951A18" w:rsidRPr="00F05A7A" w:rsidRDefault="00951A1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lastRenderedPageBreak/>
        <w:t>A seção III do capítulo XVI da Lei nº 6.404/76 trata exclusivamente dos dividendos, o que são, como se deve ser calculado os valores a pagar, e o que é correto quando se trata de dividendos. A parametrização para os dividendos obrigatórios se encontra no artigo 202 da lei 6.404/76.</w:t>
      </w:r>
    </w:p>
    <w:p w14:paraId="6A52CDB7" w14:textId="77777777" w:rsidR="00951A18" w:rsidRPr="00F05A7A" w:rsidRDefault="00951A1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Segundo o artigo 202 da Lei das S.A., o acionista da empresa deverá receber como dividendo obrigatório, todo exercício, a parcela, de acordo com o estatuto, do lucro apurado naquele período. Caso não haja um estatuto pré-definindo este percentual, o valor deverá ser distribuído de acordo com o que está descriminado nos incisos e alíneas do mesmo. </w:t>
      </w:r>
    </w:p>
    <w:p w14:paraId="05AAC611" w14:textId="77777777" w:rsidR="00951A18" w:rsidRPr="00F05A7A" w:rsidRDefault="00951A1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Sendo assim, a empresa deve, obrigatoriamente, apresentar seus dividendos no Patrimônio Líquido do Balanço Patrimonial da entidade ao final de cada exercício, quando seu resultado for positivo para a empresa, ou seja, quando a empresa obtiver lucro.</w:t>
      </w:r>
    </w:p>
    <w:p w14:paraId="6BF124B6" w14:textId="77777777" w:rsidR="00951A18" w:rsidRPr="00F05A7A" w:rsidRDefault="00951A18" w:rsidP="00F05A7A">
      <w:pPr>
        <w:spacing w:after="0" w:line="360" w:lineRule="auto"/>
        <w:contextualSpacing/>
        <w:jc w:val="both"/>
        <w:rPr>
          <w:rFonts w:ascii="Arial" w:hAnsi="Arial" w:cs="Arial"/>
          <w:sz w:val="24"/>
          <w:szCs w:val="24"/>
        </w:rPr>
      </w:pPr>
    </w:p>
    <w:p w14:paraId="44076750" w14:textId="428DDA6E" w:rsidR="00951A18" w:rsidRPr="00F05A7A" w:rsidRDefault="00951A18" w:rsidP="00F05A7A">
      <w:pPr>
        <w:pStyle w:val="PargrafodaLista"/>
        <w:numPr>
          <w:ilvl w:val="2"/>
          <w:numId w:val="15"/>
        </w:numPr>
        <w:spacing w:after="0" w:line="360" w:lineRule="auto"/>
        <w:ind w:left="426" w:hanging="426"/>
        <w:jc w:val="both"/>
        <w:rPr>
          <w:rFonts w:ascii="Arial" w:hAnsi="Arial" w:cs="Arial"/>
          <w:sz w:val="24"/>
          <w:szCs w:val="24"/>
        </w:rPr>
      </w:pPr>
      <w:r w:rsidRPr="00F05A7A">
        <w:rPr>
          <w:rFonts w:ascii="Arial" w:hAnsi="Arial" w:cs="Arial"/>
          <w:sz w:val="24"/>
          <w:szCs w:val="24"/>
        </w:rPr>
        <w:t xml:space="preserve">Ajuste a </w:t>
      </w:r>
      <w:r w:rsidR="005C18E7" w:rsidRPr="00F05A7A">
        <w:rPr>
          <w:rFonts w:ascii="Arial" w:hAnsi="Arial" w:cs="Arial"/>
          <w:sz w:val="24"/>
          <w:szCs w:val="24"/>
        </w:rPr>
        <w:t>valor p</w:t>
      </w:r>
      <w:r w:rsidRPr="00F05A7A">
        <w:rPr>
          <w:rFonts w:ascii="Arial" w:hAnsi="Arial" w:cs="Arial"/>
          <w:sz w:val="24"/>
          <w:szCs w:val="24"/>
        </w:rPr>
        <w:t>resente – CPC 12</w:t>
      </w:r>
    </w:p>
    <w:p w14:paraId="10D2748A" w14:textId="77777777" w:rsidR="00D53341" w:rsidRPr="00F05A7A" w:rsidRDefault="00D53341" w:rsidP="00F05A7A">
      <w:pPr>
        <w:spacing w:after="0" w:line="360" w:lineRule="auto"/>
        <w:ind w:firstLine="567"/>
        <w:contextualSpacing/>
        <w:jc w:val="both"/>
        <w:rPr>
          <w:rFonts w:ascii="Arial" w:hAnsi="Arial" w:cs="Arial"/>
          <w:sz w:val="24"/>
          <w:szCs w:val="24"/>
        </w:rPr>
      </w:pPr>
    </w:p>
    <w:p w14:paraId="7D85FC54" w14:textId="77777777" w:rsidR="00951A18" w:rsidRPr="00F05A7A" w:rsidRDefault="00951A18"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O texto fala sobre como os ativos e passivos devem ser reconhecidos, com seu valor real, segregando os juros embutidos no valor da venda, para que as informações sejam mais transparentes. </w:t>
      </w:r>
    </w:p>
    <w:p w14:paraId="74CD8B26" w14:textId="77777777" w:rsidR="00D53341" w:rsidRPr="00F05A7A" w:rsidRDefault="00D53341" w:rsidP="00F05A7A">
      <w:pPr>
        <w:spacing w:after="0" w:line="240" w:lineRule="auto"/>
        <w:ind w:left="2268"/>
        <w:contextualSpacing/>
        <w:jc w:val="both"/>
        <w:rPr>
          <w:rFonts w:ascii="Arial" w:hAnsi="Arial" w:cs="Arial"/>
        </w:rPr>
      </w:pPr>
    </w:p>
    <w:p w14:paraId="3FCE7640" w14:textId="5B7D0311"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 xml:space="preserve">Os elementos integrantes do ativo e do passivo decorrentes de operações de longo prazo, ou de curto prazo quando houver efeito relevante, devem ser ajustados a valor presente com base em taxas de desconto que reflitam as melhores avaliações do mercado quanto ao valor do dinheiro no tempo e os riscos específicos do ativo e do </w:t>
      </w:r>
      <w:r w:rsidR="005C18E7" w:rsidRPr="00F05A7A">
        <w:rPr>
          <w:rFonts w:ascii="Arial" w:hAnsi="Arial" w:cs="Arial"/>
        </w:rPr>
        <w:t>passivo em suas datas originais</w:t>
      </w:r>
      <w:r w:rsidRPr="00F05A7A">
        <w:rPr>
          <w:rFonts w:ascii="Arial" w:hAnsi="Arial" w:cs="Arial"/>
        </w:rPr>
        <w:t xml:space="preserve"> (CPC 12, 2008, p. 8)</w:t>
      </w:r>
    </w:p>
    <w:p w14:paraId="6E9B4D23" w14:textId="77777777" w:rsidR="00951A18" w:rsidRPr="00F05A7A" w:rsidRDefault="00951A18" w:rsidP="00F05A7A">
      <w:pPr>
        <w:spacing w:after="0" w:line="360" w:lineRule="auto"/>
        <w:ind w:left="2268"/>
        <w:contextualSpacing/>
        <w:jc w:val="both"/>
        <w:rPr>
          <w:rFonts w:ascii="Arial" w:hAnsi="Arial" w:cs="Arial"/>
          <w:sz w:val="20"/>
          <w:szCs w:val="20"/>
        </w:rPr>
      </w:pPr>
    </w:p>
    <w:p w14:paraId="56EB3A64" w14:textId="0D2FF346" w:rsidR="00951A18" w:rsidRPr="00F05A7A" w:rsidRDefault="00951A1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Esta nova obrigação trouxe mudança na escrituração das informações contábeis, pois inicialmente, os valores reconhecidos como receita de venda, eram os mesmos reconhecidos no </w:t>
      </w:r>
      <w:r w:rsidR="00C12CB3" w:rsidRPr="00F05A7A">
        <w:rPr>
          <w:rFonts w:ascii="Arial" w:hAnsi="Arial" w:cs="Arial"/>
          <w:sz w:val="24"/>
          <w:szCs w:val="24"/>
        </w:rPr>
        <w:t xml:space="preserve">grupo de </w:t>
      </w:r>
      <w:r w:rsidRPr="00F05A7A">
        <w:rPr>
          <w:rFonts w:ascii="Arial" w:hAnsi="Arial" w:cs="Arial"/>
          <w:sz w:val="24"/>
          <w:szCs w:val="24"/>
        </w:rPr>
        <w:t xml:space="preserve">‘contas a receber’ ou ‘a pagar’, ou seja, o valor da nota fiscal. </w:t>
      </w:r>
    </w:p>
    <w:p w14:paraId="0C6039C7" w14:textId="77777777" w:rsidR="00D53341" w:rsidRPr="00F05A7A" w:rsidRDefault="00D53341" w:rsidP="00F05A7A">
      <w:pPr>
        <w:spacing w:after="0" w:line="360" w:lineRule="auto"/>
        <w:ind w:left="2268"/>
        <w:contextualSpacing/>
        <w:jc w:val="both"/>
        <w:rPr>
          <w:rFonts w:ascii="Arial" w:hAnsi="Arial" w:cs="Arial"/>
          <w:sz w:val="20"/>
          <w:szCs w:val="20"/>
        </w:rPr>
      </w:pPr>
    </w:p>
    <w:p w14:paraId="433499C7" w14:textId="77777777"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Tradicionalmente a contabilidade sempre teve por base os documentos que suportam essas transações, registrando as receitas e, em contrapartida, os ativos a receber, pelos valores constantes dessas notas fiscais e faturas. O mesmo vale para despesas e contas a pagar.</w:t>
      </w:r>
    </w:p>
    <w:p w14:paraId="53FC41E1" w14:textId="77777777"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 xml:space="preserve">Com o advento da Lei nº 11.638, de 28 de dezembro de 2007, foi introduzido expressamente na lei o desconto a valor presente para </w:t>
      </w:r>
      <w:r w:rsidRPr="00F05A7A">
        <w:rPr>
          <w:rFonts w:ascii="Arial" w:hAnsi="Arial" w:cs="Arial"/>
        </w:rPr>
        <w:lastRenderedPageBreak/>
        <w:t>contas a receber e a pagar no longo prazo e, dependendo da materialidade, para as contas de custo prazo. [...]</w:t>
      </w:r>
    </w:p>
    <w:p w14:paraId="0F7845BC" w14:textId="632D739B"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 xml:space="preserve">Os procedimentos que devem ser seguidos para o atendimento dessa previsão societária estão detalhados no Pronunciamento Técnico CPC 12 – Ajuste a Valor Presente. [...] (IUDÍCIBUS, </w:t>
      </w:r>
      <w:r w:rsidR="007C4E69" w:rsidRPr="00F05A7A">
        <w:rPr>
          <w:rFonts w:ascii="Arial" w:hAnsi="Arial" w:cs="Arial"/>
        </w:rPr>
        <w:t>et. al.,</w:t>
      </w:r>
      <w:r w:rsidRPr="00F05A7A">
        <w:rPr>
          <w:rFonts w:ascii="Arial" w:hAnsi="Arial" w:cs="Arial"/>
        </w:rPr>
        <w:t xml:space="preserve"> 2011, p.107).</w:t>
      </w:r>
    </w:p>
    <w:p w14:paraId="1417ED7B" w14:textId="77777777" w:rsidR="00951A18" w:rsidRPr="00F05A7A" w:rsidRDefault="00951A18" w:rsidP="00F05A7A">
      <w:pPr>
        <w:spacing w:after="0" w:line="360" w:lineRule="auto"/>
        <w:ind w:left="2268"/>
        <w:contextualSpacing/>
        <w:jc w:val="both"/>
        <w:rPr>
          <w:rFonts w:ascii="Arial" w:hAnsi="Arial" w:cs="Arial"/>
          <w:sz w:val="20"/>
          <w:szCs w:val="20"/>
        </w:rPr>
      </w:pPr>
    </w:p>
    <w:p w14:paraId="74FE334A" w14:textId="77777777" w:rsidR="00951A18" w:rsidRPr="00F05A7A" w:rsidRDefault="00951A18"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Tendo em vista isso, atualmente, se a operação for uma negociação que gere um a pagar ou a receber no longo prazo, ou ainda, no curto prazo com valor relevante a empresa deve reconhecer corretamente o que é receita de vendas, e o que é receita de juros/valor presente, ou no caso do passivo, custo/despesa efetiva e despesa financeira referente ao CPC 12.</w:t>
      </w:r>
    </w:p>
    <w:p w14:paraId="2AF05BBE" w14:textId="77777777" w:rsidR="00755938" w:rsidRPr="00F05A7A" w:rsidRDefault="00755938" w:rsidP="00F05A7A">
      <w:pPr>
        <w:spacing w:after="0" w:line="360" w:lineRule="auto"/>
        <w:contextualSpacing/>
        <w:jc w:val="both"/>
        <w:rPr>
          <w:rFonts w:ascii="Arial" w:hAnsi="Arial" w:cs="Arial"/>
          <w:sz w:val="24"/>
          <w:szCs w:val="24"/>
        </w:rPr>
      </w:pPr>
    </w:p>
    <w:p w14:paraId="7B27FCF1" w14:textId="54441274" w:rsidR="00951A18" w:rsidRPr="00F05A7A" w:rsidRDefault="00951A18" w:rsidP="00F05A7A">
      <w:pPr>
        <w:pStyle w:val="PargrafodaLista"/>
        <w:numPr>
          <w:ilvl w:val="2"/>
          <w:numId w:val="15"/>
        </w:numPr>
        <w:spacing w:after="0" w:line="360" w:lineRule="auto"/>
        <w:ind w:left="426" w:hanging="426"/>
        <w:jc w:val="both"/>
        <w:rPr>
          <w:rFonts w:ascii="Arial" w:hAnsi="Arial" w:cs="Arial"/>
          <w:sz w:val="24"/>
          <w:szCs w:val="24"/>
        </w:rPr>
      </w:pPr>
      <w:r w:rsidRPr="00F05A7A">
        <w:rPr>
          <w:rFonts w:ascii="Arial" w:hAnsi="Arial" w:cs="Arial"/>
          <w:sz w:val="24"/>
          <w:szCs w:val="24"/>
        </w:rPr>
        <w:t xml:space="preserve">Mensuração do </w:t>
      </w:r>
      <w:r w:rsidR="005C18E7" w:rsidRPr="00F05A7A">
        <w:rPr>
          <w:rFonts w:ascii="Arial" w:hAnsi="Arial" w:cs="Arial"/>
          <w:sz w:val="24"/>
          <w:szCs w:val="24"/>
        </w:rPr>
        <w:t xml:space="preserve">valor justo </w:t>
      </w:r>
      <w:r w:rsidRPr="00F05A7A">
        <w:rPr>
          <w:rFonts w:ascii="Arial" w:hAnsi="Arial" w:cs="Arial"/>
          <w:sz w:val="24"/>
          <w:szCs w:val="24"/>
        </w:rPr>
        <w:t>-  CPC 46</w:t>
      </w:r>
    </w:p>
    <w:p w14:paraId="61FC41B7" w14:textId="77777777" w:rsidR="00755938" w:rsidRPr="00F05A7A" w:rsidRDefault="00755938" w:rsidP="00F05A7A">
      <w:pPr>
        <w:spacing w:after="0" w:line="360" w:lineRule="auto"/>
        <w:ind w:firstLine="567"/>
        <w:contextualSpacing/>
        <w:jc w:val="both"/>
        <w:rPr>
          <w:rFonts w:ascii="Arial" w:hAnsi="Arial" w:cs="Arial"/>
          <w:sz w:val="24"/>
          <w:szCs w:val="24"/>
        </w:rPr>
      </w:pPr>
    </w:p>
    <w:p w14:paraId="10A275BC" w14:textId="77777777" w:rsidR="00951A18" w:rsidRPr="00F05A7A" w:rsidRDefault="00951A1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O ajuste a valor justo é uma forma da empresa mensurar seus ativos ou passivos ao valor de mercado, ou seja, independente da negociação feita pela mesma com seus clientes e fornecedores.</w:t>
      </w:r>
    </w:p>
    <w:p w14:paraId="38DE685D" w14:textId="77777777" w:rsidR="00D53341" w:rsidRPr="00F05A7A" w:rsidRDefault="00D53341" w:rsidP="00F05A7A">
      <w:pPr>
        <w:spacing w:after="0" w:line="360" w:lineRule="auto"/>
        <w:ind w:left="2268"/>
        <w:contextualSpacing/>
        <w:jc w:val="both"/>
        <w:rPr>
          <w:rFonts w:ascii="Arial" w:hAnsi="Arial" w:cs="Arial"/>
          <w:sz w:val="20"/>
          <w:szCs w:val="20"/>
        </w:rPr>
      </w:pPr>
    </w:p>
    <w:p w14:paraId="56488F60" w14:textId="77777777"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O valor justo é uma mensuração baseada em mercado e não uma mensuração específica da entidade. Para alguns ativos e passivos, pode haver informações de mercado ou transações de mercado observáveis disponíveis e para outros pode não haver. Contudo, o objetivo da mensuração do valor justo em ambos os casos é o mesmo – estimar o preço pelo qual uma transação não forçada para vender o ativo ou para transferir o passivo ocorreria entre participantes do mercado na data de mensuração sob condições correntes de mercado (ou seja, um preço de saída na data de mensuração do ponto de vista de participante do mercado que detenha o ativo ou o passivo). [...]</w:t>
      </w:r>
    </w:p>
    <w:p w14:paraId="38B1364F" w14:textId="77777777"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A definição de valor justo se concentra em ativos e passivos porque eles são o objeto primário da mensuração contábil. Além disso, este Pronunciamento deve ser aplicado aos instrumentos patrimoniais próprios da entidade mensurados ao valor justo. (CPC 46, 2012, p. 2).</w:t>
      </w:r>
    </w:p>
    <w:p w14:paraId="017D45C7" w14:textId="77777777" w:rsidR="00951A18" w:rsidRPr="00F05A7A" w:rsidRDefault="00951A18" w:rsidP="00F05A7A">
      <w:pPr>
        <w:spacing w:after="0" w:line="360" w:lineRule="auto"/>
        <w:ind w:left="2268"/>
        <w:contextualSpacing/>
        <w:jc w:val="both"/>
        <w:rPr>
          <w:rFonts w:ascii="Arial" w:hAnsi="Arial" w:cs="Arial"/>
          <w:sz w:val="20"/>
          <w:szCs w:val="20"/>
        </w:rPr>
      </w:pPr>
    </w:p>
    <w:p w14:paraId="3DEA84F0" w14:textId="4932B831" w:rsidR="00951A18" w:rsidRPr="00F05A7A" w:rsidRDefault="00951A18"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O Ajuste a Valor Justo regulamentado pelo CPC 46 é vinculado com a IFRS 13, e tem uma definição bem específica quanto ao seu significado: “Este Pronunciamento define valor justo como o preço que seria recebido pela venda de um ativo ou que seria pago pela transferência de um passivo em uma transação não forçada entre participantes do mercado na data de mensuração</w:t>
      </w:r>
      <w:r w:rsidR="006954E5" w:rsidRPr="00F05A7A">
        <w:rPr>
          <w:rFonts w:ascii="Arial" w:hAnsi="Arial" w:cs="Arial"/>
          <w:sz w:val="24"/>
          <w:szCs w:val="24"/>
        </w:rPr>
        <w:t>”</w:t>
      </w:r>
      <w:r w:rsidRPr="00F05A7A">
        <w:rPr>
          <w:rFonts w:ascii="Arial" w:hAnsi="Arial" w:cs="Arial"/>
          <w:sz w:val="24"/>
          <w:szCs w:val="24"/>
        </w:rPr>
        <w:t xml:space="preserve"> (CPC 46, 2012, p. 3).</w:t>
      </w:r>
    </w:p>
    <w:p w14:paraId="68FAB404" w14:textId="77777777" w:rsidR="00951A18" w:rsidRPr="00F05A7A" w:rsidRDefault="00951A18"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Desta forma, deve-se utilizar o cálculo a valor justo para encontrar qual o valor de mercado da operação, além destas, é muito comum efetuar o cálculo do valor justo em estoques de grãos, ou outros ativos biológicos.</w:t>
      </w:r>
    </w:p>
    <w:p w14:paraId="30E4A777" w14:textId="6C08F4AF" w:rsidR="00951A18" w:rsidRPr="00F05A7A" w:rsidRDefault="00951A18" w:rsidP="00F05A7A">
      <w:pPr>
        <w:spacing w:after="0" w:line="360" w:lineRule="auto"/>
        <w:contextualSpacing/>
        <w:jc w:val="both"/>
        <w:rPr>
          <w:rFonts w:ascii="Arial" w:hAnsi="Arial" w:cs="Arial"/>
          <w:sz w:val="24"/>
          <w:szCs w:val="24"/>
        </w:rPr>
      </w:pPr>
    </w:p>
    <w:p w14:paraId="38EAC1C5" w14:textId="4D9F01A8" w:rsidR="00951A18" w:rsidRPr="00F05A7A" w:rsidRDefault="00951A18" w:rsidP="00F05A7A">
      <w:pPr>
        <w:pStyle w:val="PargrafodaLista"/>
        <w:numPr>
          <w:ilvl w:val="2"/>
          <w:numId w:val="15"/>
        </w:numPr>
        <w:spacing w:after="0" w:line="360" w:lineRule="auto"/>
        <w:ind w:left="426" w:hanging="426"/>
        <w:jc w:val="both"/>
        <w:rPr>
          <w:rFonts w:ascii="Arial" w:hAnsi="Arial" w:cs="Arial"/>
          <w:sz w:val="24"/>
          <w:szCs w:val="24"/>
        </w:rPr>
      </w:pPr>
      <w:r w:rsidRPr="00F05A7A">
        <w:rPr>
          <w:rFonts w:ascii="Arial" w:hAnsi="Arial" w:cs="Arial"/>
          <w:sz w:val="24"/>
          <w:szCs w:val="24"/>
        </w:rPr>
        <w:lastRenderedPageBreak/>
        <w:t xml:space="preserve">Provisões, </w:t>
      </w:r>
      <w:r w:rsidR="005C18E7" w:rsidRPr="00F05A7A">
        <w:rPr>
          <w:rFonts w:ascii="Arial" w:hAnsi="Arial" w:cs="Arial"/>
          <w:sz w:val="24"/>
          <w:szCs w:val="24"/>
        </w:rPr>
        <w:t xml:space="preserve">passivos contingentes e ativos contingentes </w:t>
      </w:r>
      <w:r w:rsidRPr="00F05A7A">
        <w:rPr>
          <w:rFonts w:ascii="Arial" w:hAnsi="Arial" w:cs="Arial"/>
          <w:sz w:val="24"/>
          <w:szCs w:val="24"/>
        </w:rPr>
        <w:t xml:space="preserve">– CPC 25 </w:t>
      </w:r>
    </w:p>
    <w:p w14:paraId="47568D81" w14:textId="77777777" w:rsidR="00D53341" w:rsidRPr="00F05A7A" w:rsidRDefault="00D53341" w:rsidP="00F05A7A">
      <w:pPr>
        <w:spacing w:after="0" w:line="360" w:lineRule="auto"/>
        <w:ind w:firstLine="567"/>
        <w:contextualSpacing/>
        <w:jc w:val="both"/>
        <w:rPr>
          <w:rFonts w:ascii="Arial" w:hAnsi="Arial" w:cs="Arial"/>
          <w:sz w:val="24"/>
          <w:szCs w:val="24"/>
        </w:rPr>
      </w:pPr>
    </w:p>
    <w:p w14:paraId="6544845C" w14:textId="77777777" w:rsidR="00951A18" w:rsidRPr="00F05A7A" w:rsidRDefault="00951A18"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Os ativos e passivos contingentes são valores advindos de algo que não foi planejado pela empresa, mas que poderá ser necessário fazer o desembolso/recebimento deste valor, porém, esta possibilidade não é concreta, ela pode ser fracionada em três níveis: remota, possível e provável. </w:t>
      </w:r>
    </w:p>
    <w:p w14:paraId="5E7F5FE9" w14:textId="77777777" w:rsidR="00D53341" w:rsidRPr="00F05A7A" w:rsidRDefault="00D53341" w:rsidP="00F05A7A">
      <w:pPr>
        <w:spacing w:after="0" w:line="360" w:lineRule="auto"/>
        <w:ind w:left="2268"/>
        <w:contextualSpacing/>
        <w:jc w:val="both"/>
        <w:rPr>
          <w:rFonts w:ascii="Arial" w:hAnsi="Arial" w:cs="Arial"/>
          <w:sz w:val="20"/>
          <w:szCs w:val="20"/>
        </w:rPr>
      </w:pPr>
    </w:p>
    <w:p w14:paraId="1096AE58" w14:textId="2B7D5229"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 xml:space="preserve">Passivo contingente é: </w:t>
      </w:r>
    </w:p>
    <w:p w14:paraId="7FAB0F2D" w14:textId="77777777"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 xml:space="preserve">(a)  uma obrigação possível que resulta de eventos passados e cuja existência será confirmada apenas pela ocorrência ou não de um ou mais eventos futuros incertos não totalmente sob controle da entidade; ou </w:t>
      </w:r>
    </w:p>
    <w:p w14:paraId="60722DCD" w14:textId="77777777"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 xml:space="preserve">(b)  uma obrigação presente que resulta de eventos passados, mas que não é reconhecida porque: </w:t>
      </w:r>
    </w:p>
    <w:p w14:paraId="17540670" w14:textId="77777777"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 xml:space="preserve">(i)   não é provável que uma saída de recursos que incorporam benefícios econômicos seja exigida para liquidar a obrigação; ou </w:t>
      </w:r>
    </w:p>
    <w:p w14:paraId="0D87BEEC" w14:textId="77777777"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 xml:space="preserve">(ii)  o valor da obrigação não pode ser mensurado com suficiente confiabilidade. </w:t>
      </w:r>
    </w:p>
    <w:p w14:paraId="2BB41B1C" w14:textId="77777777" w:rsidR="00951A18" w:rsidRPr="00F05A7A" w:rsidRDefault="00951A18" w:rsidP="00F05A7A">
      <w:pPr>
        <w:spacing w:after="0" w:line="240" w:lineRule="auto"/>
        <w:ind w:left="2268"/>
        <w:contextualSpacing/>
        <w:jc w:val="both"/>
        <w:rPr>
          <w:rFonts w:ascii="Arial" w:hAnsi="Arial" w:cs="Arial"/>
        </w:rPr>
      </w:pPr>
      <w:r w:rsidRPr="00F05A7A">
        <w:rPr>
          <w:rFonts w:ascii="Arial" w:hAnsi="Arial" w:cs="Arial"/>
        </w:rPr>
        <w:t>Ativo contingente é um ativo possível que resulta de eventos passados e cuja existência será confirmada apenas pela ocorrência ou não de um ou mais eventos futuros incertos não totalmente sob controle da entidade. (CPC 25, 2009, p. 04).</w:t>
      </w:r>
    </w:p>
    <w:p w14:paraId="3780BD91" w14:textId="77777777" w:rsidR="00951A18" w:rsidRPr="00F05A7A" w:rsidRDefault="00951A18" w:rsidP="00F05A7A">
      <w:pPr>
        <w:spacing w:after="0" w:line="360" w:lineRule="auto"/>
        <w:ind w:left="2268"/>
        <w:contextualSpacing/>
        <w:jc w:val="both"/>
        <w:rPr>
          <w:rFonts w:ascii="Arial" w:hAnsi="Arial" w:cs="Arial"/>
          <w:sz w:val="20"/>
          <w:szCs w:val="20"/>
        </w:rPr>
      </w:pPr>
    </w:p>
    <w:p w14:paraId="60F52696" w14:textId="77777777" w:rsidR="00951A18" w:rsidRPr="00F05A7A" w:rsidRDefault="00951A1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Este reconhecimento, de contingência, foi descrito primeiramente no IAS 37, e depois traduzido e adaptado a legislação brasileira através do Pronunciamento Técnico CPC 25.</w:t>
      </w:r>
    </w:p>
    <w:p w14:paraId="37D62A33" w14:textId="77777777" w:rsidR="00951A18" w:rsidRPr="00F05A7A" w:rsidRDefault="00951A1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Um exemplo comum de reconhecimento de contingência é quando a empresa está enfrentando um processo judicial, onde a mesma não estava esperando, porém, tal processo acaba gerando uma possibilidade de desembolso de valor pela empresa, dessa forma, o valor é reconhecido de acordo com a possibilidade de perda deste montante.</w:t>
      </w:r>
    </w:p>
    <w:p w14:paraId="103345BE" w14:textId="77777777" w:rsidR="00B33F31" w:rsidRPr="00F05A7A" w:rsidRDefault="00B33F31" w:rsidP="00F05A7A">
      <w:pPr>
        <w:spacing w:after="0" w:line="360" w:lineRule="auto"/>
        <w:ind w:firstLine="567"/>
        <w:contextualSpacing/>
        <w:jc w:val="both"/>
        <w:rPr>
          <w:rFonts w:ascii="Arial" w:hAnsi="Arial" w:cs="Arial"/>
          <w:sz w:val="24"/>
          <w:szCs w:val="24"/>
        </w:rPr>
      </w:pPr>
    </w:p>
    <w:p w14:paraId="39C4A17F" w14:textId="6CAAE3E8" w:rsidR="00FB77A1" w:rsidRPr="00F05A7A" w:rsidRDefault="000747DB" w:rsidP="00F05A7A">
      <w:pPr>
        <w:pStyle w:val="PargrafodaLista"/>
        <w:numPr>
          <w:ilvl w:val="2"/>
          <w:numId w:val="15"/>
        </w:numPr>
        <w:spacing w:after="0" w:line="360" w:lineRule="auto"/>
        <w:ind w:left="426" w:hanging="426"/>
        <w:jc w:val="both"/>
        <w:rPr>
          <w:rFonts w:ascii="Arial" w:hAnsi="Arial" w:cs="Arial"/>
          <w:sz w:val="24"/>
          <w:szCs w:val="24"/>
        </w:rPr>
      </w:pPr>
      <w:r w:rsidRPr="00F05A7A">
        <w:rPr>
          <w:rFonts w:ascii="Arial" w:hAnsi="Arial" w:cs="Arial"/>
          <w:sz w:val="24"/>
          <w:szCs w:val="24"/>
        </w:rPr>
        <w:t xml:space="preserve">Redução ao </w:t>
      </w:r>
      <w:r w:rsidR="0002760A" w:rsidRPr="00F05A7A">
        <w:rPr>
          <w:rFonts w:ascii="Arial" w:hAnsi="Arial" w:cs="Arial"/>
          <w:sz w:val="24"/>
          <w:szCs w:val="24"/>
        </w:rPr>
        <w:t>valor recuperável de a</w:t>
      </w:r>
      <w:r w:rsidR="00AE378E" w:rsidRPr="00F05A7A">
        <w:rPr>
          <w:rFonts w:ascii="Arial" w:hAnsi="Arial" w:cs="Arial"/>
          <w:sz w:val="24"/>
          <w:szCs w:val="24"/>
        </w:rPr>
        <w:t>tivo</w:t>
      </w:r>
      <w:r w:rsidRPr="00F05A7A">
        <w:rPr>
          <w:rFonts w:ascii="Arial" w:hAnsi="Arial" w:cs="Arial"/>
          <w:sz w:val="24"/>
          <w:szCs w:val="24"/>
        </w:rPr>
        <w:t>s</w:t>
      </w:r>
      <w:r w:rsidR="0038603D" w:rsidRPr="00F05A7A">
        <w:rPr>
          <w:rFonts w:ascii="Arial" w:hAnsi="Arial" w:cs="Arial"/>
          <w:sz w:val="24"/>
          <w:szCs w:val="24"/>
        </w:rPr>
        <w:t xml:space="preserve"> – CPC 01</w:t>
      </w:r>
    </w:p>
    <w:p w14:paraId="578F4383" w14:textId="77777777" w:rsidR="00D53341" w:rsidRPr="00F05A7A" w:rsidRDefault="00D53341" w:rsidP="00F05A7A">
      <w:pPr>
        <w:spacing w:after="0" w:line="360" w:lineRule="auto"/>
        <w:ind w:firstLine="567"/>
        <w:contextualSpacing/>
        <w:jc w:val="both"/>
        <w:rPr>
          <w:rFonts w:ascii="Arial" w:hAnsi="Arial" w:cs="Arial"/>
          <w:sz w:val="24"/>
          <w:szCs w:val="24"/>
        </w:rPr>
      </w:pPr>
    </w:p>
    <w:p w14:paraId="415E2421" w14:textId="73522AD9" w:rsidR="0038603D" w:rsidRPr="00F05A7A" w:rsidRDefault="00535893"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Este procedimento foi o segundo emitido pela entidade, e tem por finalidade estabelecer regras para os valores contabilizados no ativo da companhia, </w:t>
      </w:r>
      <w:r w:rsidR="00F032E9" w:rsidRPr="00F05A7A">
        <w:rPr>
          <w:rFonts w:ascii="Arial" w:hAnsi="Arial" w:cs="Arial"/>
          <w:sz w:val="24"/>
          <w:szCs w:val="24"/>
        </w:rPr>
        <w:t>e como tratar a desvalorização deste ativo. Como objetivo deste pronunciamento, tem-se:</w:t>
      </w:r>
    </w:p>
    <w:p w14:paraId="2E1DD893" w14:textId="77777777" w:rsidR="00D53341" w:rsidRPr="00F05A7A" w:rsidRDefault="00D53341" w:rsidP="00F05A7A">
      <w:pPr>
        <w:spacing w:after="0" w:line="360" w:lineRule="auto"/>
        <w:ind w:left="2268"/>
        <w:contextualSpacing/>
        <w:jc w:val="both"/>
        <w:rPr>
          <w:rFonts w:ascii="Arial" w:hAnsi="Arial" w:cs="Arial"/>
          <w:sz w:val="20"/>
          <w:szCs w:val="20"/>
        </w:rPr>
      </w:pPr>
    </w:p>
    <w:p w14:paraId="1CF9F906" w14:textId="7C224CBE" w:rsidR="00E8054C" w:rsidRPr="00F05A7A" w:rsidRDefault="00F032E9" w:rsidP="00F05A7A">
      <w:pPr>
        <w:spacing w:after="0" w:line="240" w:lineRule="auto"/>
        <w:ind w:left="2268"/>
        <w:contextualSpacing/>
        <w:jc w:val="both"/>
        <w:rPr>
          <w:rFonts w:ascii="Arial" w:hAnsi="Arial" w:cs="Arial"/>
        </w:rPr>
      </w:pPr>
      <w:r w:rsidRPr="00F05A7A">
        <w:rPr>
          <w:rFonts w:ascii="Arial" w:hAnsi="Arial" w:cs="Arial"/>
        </w:rPr>
        <w:t xml:space="preserve">O objetivo deste Pronunciamento Técnico é estabelecer procedimentos que a entidade deve aplicar para assegurar que seus ativos estejam registrados contabilmente por valor que não exceda </w:t>
      </w:r>
      <w:r w:rsidRPr="00F05A7A">
        <w:rPr>
          <w:rFonts w:ascii="Arial" w:hAnsi="Arial" w:cs="Arial"/>
        </w:rPr>
        <w:lastRenderedPageBreak/>
        <w:t>seus valores de recuperação. Um ativo está registrado contabilmente por valor que excede seu valor de recuperação se o seu valor contábil exceder o montante a ser recuperado pelo uso ou pela venda do ativo. Se esse for o caso, o ativo é caracterizado como sujeito ao reconhecimento de perdas, e o Pronunciamento Técnico requer que a entidade reconheça um ajuste para perdas por desvalorização. O Pronunciamento Técnico também especifica quando a entidade deve reverter um ajuste para perdas por desvalorização e estab</w:t>
      </w:r>
      <w:r w:rsidR="0002760A" w:rsidRPr="00F05A7A">
        <w:rPr>
          <w:rFonts w:ascii="Arial" w:hAnsi="Arial" w:cs="Arial"/>
        </w:rPr>
        <w:t>elece as divulgações requeridas</w:t>
      </w:r>
      <w:r w:rsidRPr="00F05A7A">
        <w:rPr>
          <w:rFonts w:ascii="Arial" w:hAnsi="Arial" w:cs="Arial"/>
        </w:rPr>
        <w:t xml:space="preserve"> (CPC 01, 2010, p. 2)</w:t>
      </w:r>
      <w:r w:rsidR="00755938" w:rsidRPr="00F05A7A">
        <w:rPr>
          <w:rFonts w:ascii="Arial" w:hAnsi="Arial" w:cs="Arial"/>
        </w:rPr>
        <w:t>.</w:t>
      </w:r>
      <w:r w:rsidRPr="00F05A7A">
        <w:rPr>
          <w:rFonts w:ascii="Arial" w:hAnsi="Arial" w:cs="Arial"/>
        </w:rPr>
        <w:cr/>
      </w:r>
    </w:p>
    <w:p w14:paraId="1976BD00" w14:textId="5227BBC7" w:rsidR="00F032E9" w:rsidRPr="00F05A7A" w:rsidRDefault="00F032E9"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Tal pronunciamento, está vinculado ao IAS 36 emitido pelo IASB, segundo a página oficial na internet </w:t>
      </w:r>
      <w:r w:rsidRPr="00F05A7A">
        <w:rPr>
          <w:rFonts w:ascii="Arial" w:hAnsi="Arial" w:cs="Arial"/>
          <w:i/>
          <w:sz w:val="24"/>
          <w:szCs w:val="24"/>
        </w:rPr>
        <w:t>da IFRS ®</w:t>
      </w:r>
      <w:r w:rsidR="00E276CF" w:rsidRPr="00F05A7A">
        <w:rPr>
          <w:rFonts w:ascii="Arial" w:hAnsi="Arial" w:cs="Arial"/>
          <w:i/>
          <w:sz w:val="24"/>
          <w:szCs w:val="24"/>
        </w:rPr>
        <w:t xml:space="preserve"> Fundation</w:t>
      </w:r>
      <w:r w:rsidRPr="00F05A7A">
        <w:rPr>
          <w:rFonts w:ascii="Arial" w:hAnsi="Arial" w:cs="Arial"/>
          <w:sz w:val="24"/>
          <w:szCs w:val="24"/>
        </w:rPr>
        <w:t>, o IAS 36 fala a respeito de que um ativo não deve ser/estar registrado nas demonstrações da empresa com um valor a maior</w:t>
      </w:r>
      <w:r w:rsidR="00E276CF" w:rsidRPr="00F05A7A">
        <w:rPr>
          <w:rFonts w:ascii="Arial" w:hAnsi="Arial" w:cs="Arial"/>
          <w:sz w:val="24"/>
          <w:szCs w:val="24"/>
        </w:rPr>
        <w:t xml:space="preserve"> do que o valor recuperável – o maior entre </w:t>
      </w:r>
      <w:r w:rsidR="00EB3626" w:rsidRPr="00F05A7A">
        <w:rPr>
          <w:rFonts w:ascii="Arial" w:hAnsi="Arial" w:cs="Arial"/>
          <w:sz w:val="24"/>
          <w:szCs w:val="24"/>
        </w:rPr>
        <w:t xml:space="preserve">a possível </w:t>
      </w:r>
      <w:r w:rsidR="00E276CF" w:rsidRPr="00F05A7A">
        <w:rPr>
          <w:rFonts w:ascii="Arial" w:hAnsi="Arial" w:cs="Arial"/>
          <w:sz w:val="24"/>
          <w:szCs w:val="24"/>
        </w:rPr>
        <w:t>recuperação em uso ou venda -  se o valor contábil for maior do que o valor que é possível recuperar pela empresa utilizando o ativo</w:t>
      </w:r>
      <w:r w:rsidR="00EB3626" w:rsidRPr="00F05A7A">
        <w:rPr>
          <w:rFonts w:ascii="Arial" w:hAnsi="Arial" w:cs="Arial"/>
          <w:sz w:val="24"/>
          <w:szCs w:val="24"/>
        </w:rPr>
        <w:t xml:space="preserve"> ou vendendo o mesmo</w:t>
      </w:r>
      <w:r w:rsidR="00E276CF" w:rsidRPr="00F05A7A">
        <w:rPr>
          <w:rFonts w:ascii="Arial" w:hAnsi="Arial" w:cs="Arial"/>
          <w:sz w:val="24"/>
          <w:szCs w:val="24"/>
        </w:rPr>
        <w:t xml:space="preserve">, a empresa deve reconhecer esta perda. </w:t>
      </w:r>
    </w:p>
    <w:p w14:paraId="7E5ECB7A" w14:textId="791D32CC" w:rsidR="00F032E9" w:rsidRPr="00F05A7A" w:rsidRDefault="00E276CF"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Bem como o IAS 36, o CPC 01 traz este mesmo conceito ao cenário brasileiro, onde o pronunciamento busca regulamentar e trazer transparência sobre o assunto, buscando convergência as normas internacionais.</w:t>
      </w:r>
    </w:p>
    <w:p w14:paraId="1A77B637" w14:textId="77777777" w:rsidR="008F4948" w:rsidRPr="00F05A7A" w:rsidRDefault="008F4948" w:rsidP="00F05A7A">
      <w:pPr>
        <w:spacing w:after="0" w:line="360" w:lineRule="auto"/>
        <w:ind w:firstLine="567"/>
        <w:contextualSpacing/>
        <w:jc w:val="both"/>
        <w:rPr>
          <w:rFonts w:ascii="Arial" w:hAnsi="Arial" w:cs="Arial"/>
          <w:sz w:val="24"/>
          <w:szCs w:val="24"/>
        </w:rPr>
      </w:pPr>
    </w:p>
    <w:p w14:paraId="43380678" w14:textId="77777777" w:rsidR="00DA31F0" w:rsidRPr="00F05A7A" w:rsidRDefault="00D71585" w:rsidP="00F05A7A">
      <w:pPr>
        <w:pStyle w:val="PargrafodaLista"/>
        <w:numPr>
          <w:ilvl w:val="0"/>
          <w:numId w:val="15"/>
        </w:numPr>
        <w:spacing w:after="0" w:line="360" w:lineRule="auto"/>
        <w:jc w:val="both"/>
        <w:rPr>
          <w:rFonts w:ascii="Arial" w:hAnsi="Arial" w:cs="Arial"/>
          <w:sz w:val="24"/>
          <w:szCs w:val="24"/>
        </w:rPr>
      </w:pPr>
      <w:r w:rsidRPr="00F05A7A">
        <w:rPr>
          <w:rFonts w:ascii="Arial" w:hAnsi="Arial" w:cs="Arial"/>
          <w:sz w:val="24"/>
          <w:szCs w:val="24"/>
        </w:rPr>
        <w:t>METODOLOGIA</w:t>
      </w:r>
    </w:p>
    <w:p w14:paraId="3D2D0A0D" w14:textId="77777777" w:rsidR="00472AEA" w:rsidRPr="00F05A7A" w:rsidRDefault="00472AEA" w:rsidP="00F05A7A">
      <w:pPr>
        <w:spacing w:after="0" w:line="360" w:lineRule="auto"/>
        <w:contextualSpacing/>
        <w:jc w:val="both"/>
        <w:rPr>
          <w:rFonts w:ascii="Arial" w:hAnsi="Arial" w:cs="Arial"/>
          <w:sz w:val="24"/>
          <w:szCs w:val="24"/>
        </w:rPr>
      </w:pPr>
    </w:p>
    <w:p w14:paraId="1380FA36" w14:textId="29B5A2F0" w:rsidR="00FA7262" w:rsidRPr="00F05A7A" w:rsidRDefault="00FA7262"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O delineamento metodológico deste artigo foi desenvolvido através de pesquisa, de caráter descritiv</w:t>
      </w:r>
      <w:r w:rsidR="00B5215D" w:rsidRPr="00F05A7A">
        <w:rPr>
          <w:rFonts w:ascii="Arial" w:hAnsi="Arial" w:cs="Arial"/>
          <w:sz w:val="24"/>
          <w:szCs w:val="24"/>
        </w:rPr>
        <w:t>a</w:t>
      </w:r>
      <w:r w:rsidRPr="00F05A7A">
        <w:rPr>
          <w:rFonts w:ascii="Arial" w:hAnsi="Arial" w:cs="Arial"/>
          <w:sz w:val="24"/>
          <w:szCs w:val="24"/>
        </w:rPr>
        <w:t xml:space="preserve">. Quanto ao problema verifica-se uma abordagem qualitativa, já aos procedimentos adotados, se enquadram como documental. </w:t>
      </w:r>
    </w:p>
    <w:p w14:paraId="5B5E7739" w14:textId="13250FD5" w:rsidR="009A71A0" w:rsidRPr="00F05A7A" w:rsidRDefault="001E5E6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As companhias do ramo de carnes e derivados estiveram nos holofotes mundiais no primeiro semestre do ano de 2017 devido a deflagração da Operação Carne Fraca pela Policia Federal Brasileira, onde con</w:t>
      </w:r>
      <w:r w:rsidR="00DE15F7" w:rsidRPr="00F05A7A">
        <w:rPr>
          <w:rFonts w:ascii="Arial" w:hAnsi="Arial" w:cs="Arial"/>
          <w:sz w:val="24"/>
          <w:szCs w:val="24"/>
        </w:rPr>
        <w:t>s</w:t>
      </w:r>
      <w:r w:rsidRPr="00F05A7A">
        <w:rPr>
          <w:rFonts w:ascii="Arial" w:hAnsi="Arial" w:cs="Arial"/>
          <w:sz w:val="24"/>
          <w:szCs w:val="24"/>
        </w:rPr>
        <w:t xml:space="preserve">tatou-se a distribuição de carnes fora do padrão permitido pela ANVISA (Agência Nacional de Vigilância Sanitária), que causou quebra de contratos internacionais, </w:t>
      </w:r>
      <w:r w:rsidR="002051B8" w:rsidRPr="00F05A7A">
        <w:rPr>
          <w:rFonts w:ascii="Arial" w:hAnsi="Arial" w:cs="Arial"/>
          <w:sz w:val="24"/>
          <w:szCs w:val="24"/>
        </w:rPr>
        <w:t xml:space="preserve">desconfiança por parte dos consumidores nacionais </w:t>
      </w:r>
      <w:r w:rsidR="00DE15F7" w:rsidRPr="00F05A7A">
        <w:rPr>
          <w:rFonts w:ascii="Arial" w:hAnsi="Arial" w:cs="Arial"/>
          <w:sz w:val="24"/>
          <w:szCs w:val="24"/>
        </w:rPr>
        <w:t xml:space="preserve">e </w:t>
      </w:r>
      <w:r w:rsidR="002051B8" w:rsidRPr="00F05A7A">
        <w:rPr>
          <w:rFonts w:ascii="Arial" w:hAnsi="Arial" w:cs="Arial"/>
          <w:sz w:val="24"/>
          <w:szCs w:val="24"/>
        </w:rPr>
        <w:t xml:space="preserve">estrangeiros, fechamento de unidades operacionais das companhias envolvidas no escândalo, e abalou consideravelmente as relações internacionais do Brasil, atingindo os valores das negociações na bolsa de valores e o preço do real em relação ao dólar estadunidense. </w:t>
      </w:r>
    </w:p>
    <w:p w14:paraId="341539AE" w14:textId="66C8562E" w:rsidR="002051B8" w:rsidRPr="00F05A7A" w:rsidRDefault="002051B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Tendo em vista o impacto internacional causado pela deflagração desta operação</w:t>
      </w:r>
      <w:r w:rsidR="009A71A0" w:rsidRPr="00F05A7A">
        <w:rPr>
          <w:rFonts w:ascii="Arial" w:hAnsi="Arial" w:cs="Arial"/>
          <w:sz w:val="24"/>
          <w:szCs w:val="24"/>
        </w:rPr>
        <w:t>,</w:t>
      </w:r>
      <w:r w:rsidR="00DE15F7" w:rsidRPr="00F05A7A">
        <w:rPr>
          <w:rFonts w:ascii="Arial" w:hAnsi="Arial" w:cs="Arial"/>
          <w:sz w:val="24"/>
          <w:szCs w:val="24"/>
        </w:rPr>
        <w:t xml:space="preserve"> e que o aumento das </w:t>
      </w:r>
      <w:r w:rsidRPr="00F05A7A">
        <w:rPr>
          <w:rFonts w:ascii="Arial" w:hAnsi="Arial" w:cs="Arial"/>
          <w:sz w:val="24"/>
          <w:szCs w:val="24"/>
        </w:rPr>
        <w:t xml:space="preserve">relações internacionais </w:t>
      </w:r>
      <w:r w:rsidR="00DE15F7" w:rsidRPr="00F05A7A">
        <w:rPr>
          <w:rFonts w:ascii="Arial" w:hAnsi="Arial" w:cs="Arial"/>
          <w:sz w:val="24"/>
          <w:szCs w:val="24"/>
        </w:rPr>
        <w:t>foram</w:t>
      </w:r>
      <w:r w:rsidRPr="00F05A7A">
        <w:rPr>
          <w:rFonts w:ascii="Arial" w:hAnsi="Arial" w:cs="Arial"/>
          <w:sz w:val="24"/>
          <w:szCs w:val="24"/>
        </w:rPr>
        <w:t xml:space="preserve"> fatores primordiais para a harmonização das informações contábeis, e que dentre as cinco empresas listadas, </w:t>
      </w:r>
      <w:r w:rsidRPr="00F05A7A">
        <w:rPr>
          <w:rFonts w:ascii="Arial" w:hAnsi="Arial" w:cs="Arial"/>
          <w:sz w:val="24"/>
          <w:szCs w:val="24"/>
        </w:rPr>
        <w:lastRenderedPageBreak/>
        <w:t xml:space="preserve">a BRF </w:t>
      </w:r>
      <w:r w:rsidR="00EF403D" w:rsidRPr="00F05A7A">
        <w:rPr>
          <w:rFonts w:ascii="Arial" w:hAnsi="Arial" w:cs="Arial"/>
          <w:sz w:val="24"/>
          <w:szCs w:val="24"/>
        </w:rPr>
        <w:t xml:space="preserve">está presente no município de Lucas do Rio Verde, </w:t>
      </w:r>
      <w:r w:rsidRPr="00F05A7A">
        <w:rPr>
          <w:rFonts w:ascii="Arial" w:hAnsi="Arial" w:cs="Arial"/>
          <w:sz w:val="24"/>
          <w:szCs w:val="24"/>
        </w:rPr>
        <w:t>a mesma foi escolhida para ser o objeto de pesquisa e análise deste trabalho</w:t>
      </w:r>
      <w:r w:rsidR="00EF403D" w:rsidRPr="00F05A7A">
        <w:rPr>
          <w:rFonts w:ascii="Arial" w:hAnsi="Arial" w:cs="Arial"/>
          <w:sz w:val="24"/>
          <w:szCs w:val="24"/>
        </w:rPr>
        <w:t xml:space="preserve">. </w:t>
      </w:r>
    </w:p>
    <w:p w14:paraId="3620F3D3" w14:textId="4ABF66F9" w:rsidR="002051B8" w:rsidRPr="00F05A7A" w:rsidRDefault="002051B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A BRF S.A. é uma empresa brasileira, fruto da fusão de dois grandes nomes do ramo, a Sadia e a Perdigão. Atualmente é uma das maiores companhias do mundo, no ramo alimentício. Atua na comercialização de seus produtos nos cinco continentes, em mais de cento e cinquenta países, </w:t>
      </w:r>
      <w:r w:rsidR="00DE15F7" w:rsidRPr="00F05A7A">
        <w:rPr>
          <w:rFonts w:ascii="Arial" w:hAnsi="Arial" w:cs="Arial"/>
          <w:sz w:val="24"/>
          <w:szCs w:val="24"/>
        </w:rPr>
        <w:t>além de ser</w:t>
      </w:r>
      <w:r w:rsidRPr="00F05A7A">
        <w:rPr>
          <w:rFonts w:ascii="Arial" w:hAnsi="Arial" w:cs="Arial"/>
          <w:sz w:val="24"/>
          <w:szCs w:val="24"/>
        </w:rPr>
        <w:t xml:space="preserve"> detentora de grandes marcas em seu catálogo de produtos, dentre as mais conhecidas é possível citar: Perdigão, Sadia e Qualy. </w:t>
      </w:r>
    </w:p>
    <w:p w14:paraId="35449B75" w14:textId="5DC26EBC" w:rsidR="00BA53D7" w:rsidRPr="00F05A7A" w:rsidRDefault="00BA53D7"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A coleta de dados se deu através do site da </w:t>
      </w:r>
      <w:r w:rsidR="00DA08A8" w:rsidRPr="00F05A7A">
        <w:rPr>
          <w:rFonts w:ascii="Arial" w:hAnsi="Arial" w:cs="Arial"/>
          <w:sz w:val="24"/>
          <w:szCs w:val="24"/>
        </w:rPr>
        <w:t>B3</w:t>
      </w:r>
      <w:r w:rsidRPr="00F05A7A">
        <w:rPr>
          <w:rFonts w:ascii="Arial" w:hAnsi="Arial" w:cs="Arial"/>
          <w:sz w:val="24"/>
          <w:szCs w:val="24"/>
        </w:rPr>
        <w:t xml:space="preserve">, </w:t>
      </w:r>
      <w:r w:rsidR="001E5E6C" w:rsidRPr="00F05A7A">
        <w:rPr>
          <w:rFonts w:ascii="Arial" w:hAnsi="Arial" w:cs="Arial"/>
          <w:sz w:val="24"/>
          <w:szCs w:val="24"/>
        </w:rPr>
        <w:t xml:space="preserve">onde é possível </w:t>
      </w:r>
      <w:r w:rsidRPr="00F05A7A">
        <w:rPr>
          <w:rFonts w:ascii="Arial" w:hAnsi="Arial" w:cs="Arial"/>
          <w:sz w:val="24"/>
          <w:szCs w:val="24"/>
        </w:rPr>
        <w:t xml:space="preserve">encontrar os demonstrativos contábeis das empresas listadas, devido as mesmas serem de capital aberto e </w:t>
      </w:r>
      <w:r w:rsidR="00581366" w:rsidRPr="00F05A7A">
        <w:rPr>
          <w:rFonts w:ascii="Arial" w:hAnsi="Arial" w:cs="Arial"/>
          <w:sz w:val="24"/>
          <w:szCs w:val="24"/>
        </w:rPr>
        <w:t xml:space="preserve">terem suas ações </w:t>
      </w:r>
      <w:r w:rsidRPr="00F05A7A">
        <w:rPr>
          <w:rFonts w:ascii="Arial" w:hAnsi="Arial" w:cs="Arial"/>
          <w:sz w:val="24"/>
          <w:szCs w:val="24"/>
        </w:rPr>
        <w:t xml:space="preserve">negociadas na bolsa de valores. </w:t>
      </w:r>
    </w:p>
    <w:p w14:paraId="240C9C71" w14:textId="1C39C3F0" w:rsidR="00BA53D7" w:rsidRPr="00F05A7A" w:rsidRDefault="00BA53D7"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Após o filtro por setor de atuação das empresas listadas, verificou-se que na data, </w:t>
      </w:r>
      <w:r w:rsidR="00A55C0A" w:rsidRPr="00F05A7A">
        <w:rPr>
          <w:rFonts w:ascii="Arial" w:hAnsi="Arial" w:cs="Arial"/>
          <w:sz w:val="24"/>
          <w:szCs w:val="24"/>
        </w:rPr>
        <w:t>no</w:t>
      </w:r>
      <w:r w:rsidRPr="00F05A7A">
        <w:rPr>
          <w:rFonts w:ascii="Arial" w:hAnsi="Arial" w:cs="Arial"/>
          <w:sz w:val="24"/>
          <w:szCs w:val="24"/>
        </w:rPr>
        <w:t xml:space="preserve"> setor de consumo não cíclico, </w:t>
      </w:r>
      <w:r w:rsidR="00AB43DC" w:rsidRPr="00F05A7A">
        <w:rPr>
          <w:rFonts w:ascii="Arial" w:hAnsi="Arial" w:cs="Arial"/>
          <w:sz w:val="24"/>
          <w:szCs w:val="24"/>
        </w:rPr>
        <w:t>subsetor</w:t>
      </w:r>
      <w:r w:rsidRPr="00F05A7A">
        <w:rPr>
          <w:rFonts w:ascii="Arial" w:hAnsi="Arial" w:cs="Arial"/>
          <w:sz w:val="24"/>
          <w:szCs w:val="24"/>
        </w:rPr>
        <w:t xml:space="preserve"> </w:t>
      </w:r>
      <w:r w:rsidR="00A55C0A" w:rsidRPr="00F05A7A">
        <w:rPr>
          <w:rFonts w:ascii="Arial" w:hAnsi="Arial" w:cs="Arial"/>
          <w:sz w:val="24"/>
          <w:szCs w:val="24"/>
        </w:rPr>
        <w:t>a</w:t>
      </w:r>
      <w:r w:rsidRPr="00F05A7A">
        <w:rPr>
          <w:rFonts w:ascii="Arial" w:hAnsi="Arial" w:cs="Arial"/>
          <w:sz w:val="24"/>
          <w:szCs w:val="24"/>
        </w:rPr>
        <w:t xml:space="preserve">limentos </w:t>
      </w:r>
      <w:r w:rsidR="00A55C0A" w:rsidRPr="00F05A7A">
        <w:rPr>
          <w:rFonts w:ascii="Arial" w:hAnsi="Arial" w:cs="Arial"/>
          <w:sz w:val="24"/>
          <w:szCs w:val="24"/>
        </w:rPr>
        <w:t>p</w:t>
      </w:r>
      <w:r w:rsidRPr="00F05A7A">
        <w:rPr>
          <w:rFonts w:ascii="Arial" w:hAnsi="Arial" w:cs="Arial"/>
          <w:sz w:val="24"/>
          <w:szCs w:val="24"/>
        </w:rPr>
        <w:t xml:space="preserve">rocessados, </w:t>
      </w:r>
      <w:r w:rsidR="00AB43DC" w:rsidRPr="00F05A7A">
        <w:rPr>
          <w:rFonts w:ascii="Arial" w:hAnsi="Arial" w:cs="Arial"/>
          <w:sz w:val="24"/>
          <w:szCs w:val="24"/>
        </w:rPr>
        <w:t>segmento</w:t>
      </w:r>
      <w:r w:rsidRPr="00F05A7A">
        <w:rPr>
          <w:rFonts w:ascii="Arial" w:hAnsi="Arial" w:cs="Arial"/>
          <w:sz w:val="24"/>
          <w:szCs w:val="24"/>
        </w:rPr>
        <w:t xml:space="preserve"> </w:t>
      </w:r>
      <w:r w:rsidR="00A55C0A" w:rsidRPr="00F05A7A">
        <w:rPr>
          <w:rFonts w:ascii="Arial" w:hAnsi="Arial" w:cs="Arial"/>
          <w:sz w:val="24"/>
          <w:szCs w:val="24"/>
        </w:rPr>
        <w:t>c</w:t>
      </w:r>
      <w:r w:rsidRPr="00F05A7A">
        <w:rPr>
          <w:rFonts w:ascii="Arial" w:hAnsi="Arial" w:cs="Arial"/>
          <w:sz w:val="24"/>
          <w:szCs w:val="24"/>
        </w:rPr>
        <w:t xml:space="preserve">arnes e </w:t>
      </w:r>
      <w:r w:rsidR="00A55C0A" w:rsidRPr="00F05A7A">
        <w:rPr>
          <w:rFonts w:ascii="Arial" w:hAnsi="Arial" w:cs="Arial"/>
          <w:sz w:val="24"/>
          <w:szCs w:val="24"/>
        </w:rPr>
        <w:t>d</w:t>
      </w:r>
      <w:r w:rsidRPr="00F05A7A">
        <w:rPr>
          <w:rFonts w:ascii="Arial" w:hAnsi="Arial" w:cs="Arial"/>
          <w:sz w:val="24"/>
          <w:szCs w:val="24"/>
        </w:rPr>
        <w:t xml:space="preserve">erivados </w:t>
      </w:r>
      <w:r w:rsidR="00DE15F7" w:rsidRPr="00F05A7A">
        <w:rPr>
          <w:rFonts w:ascii="Arial" w:hAnsi="Arial" w:cs="Arial"/>
          <w:sz w:val="24"/>
          <w:szCs w:val="24"/>
        </w:rPr>
        <w:t>estavam listadas</w:t>
      </w:r>
      <w:r w:rsidR="001E5E6C" w:rsidRPr="00F05A7A">
        <w:rPr>
          <w:rFonts w:ascii="Arial" w:hAnsi="Arial" w:cs="Arial"/>
          <w:sz w:val="24"/>
          <w:szCs w:val="24"/>
        </w:rPr>
        <w:t xml:space="preserve"> </w:t>
      </w:r>
      <w:r w:rsidRPr="00F05A7A">
        <w:rPr>
          <w:rFonts w:ascii="Arial" w:hAnsi="Arial" w:cs="Arial"/>
          <w:sz w:val="24"/>
          <w:szCs w:val="24"/>
        </w:rPr>
        <w:t xml:space="preserve">as empresas que seguem: </w:t>
      </w:r>
    </w:p>
    <w:p w14:paraId="6F1E90F2" w14:textId="77777777" w:rsidR="00C12CB3" w:rsidRPr="00F05A7A" w:rsidRDefault="00C12CB3" w:rsidP="00F05A7A">
      <w:pPr>
        <w:spacing w:after="0" w:line="360" w:lineRule="auto"/>
        <w:ind w:firstLine="567"/>
        <w:contextualSpacing/>
        <w:jc w:val="both"/>
        <w:rPr>
          <w:rFonts w:ascii="Arial" w:hAnsi="Arial" w:cs="Arial"/>
          <w:sz w:val="24"/>
          <w:szCs w:val="24"/>
        </w:rPr>
      </w:pPr>
    </w:p>
    <w:p w14:paraId="12DA52BA" w14:textId="3E44FB9D" w:rsidR="005C6BB9" w:rsidRPr="00F05A7A" w:rsidRDefault="00D851A8" w:rsidP="00F05A7A">
      <w:pPr>
        <w:pStyle w:val="Legenda"/>
        <w:keepNext/>
        <w:spacing w:after="0"/>
        <w:contextualSpacing/>
        <w:jc w:val="both"/>
        <w:rPr>
          <w:rFonts w:ascii="Arial" w:hAnsi="Arial" w:cs="Arial"/>
          <w:i w:val="0"/>
          <w:color w:val="auto"/>
          <w:sz w:val="24"/>
          <w:szCs w:val="20"/>
        </w:rPr>
      </w:pPr>
      <w:r w:rsidRPr="00F05A7A">
        <w:rPr>
          <w:rFonts w:ascii="Arial" w:hAnsi="Arial" w:cs="Arial"/>
          <w:i w:val="0"/>
          <w:iCs w:val="0"/>
          <w:color w:val="auto"/>
          <w:sz w:val="24"/>
          <w:szCs w:val="20"/>
        </w:rPr>
        <w:t>QUADRO</w:t>
      </w:r>
      <w:r w:rsidR="00F85A0C" w:rsidRPr="00F05A7A">
        <w:rPr>
          <w:rFonts w:ascii="Arial" w:hAnsi="Arial" w:cs="Arial"/>
          <w:i w:val="0"/>
          <w:iCs w:val="0"/>
          <w:color w:val="auto"/>
          <w:sz w:val="24"/>
          <w:szCs w:val="20"/>
        </w:rPr>
        <w:t xml:space="preserve"> </w:t>
      </w:r>
      <w:r w:rsidR="009E2AE5" w:rsidRPr="00F05A7A">
        <w:rPr>
          <w:rFonts w:ascii="Arial" w:hAnsi="Arial" w:cs="Arial"/>
          <w:i w:val="0"/>
          <w:color w:val="auto"/>
          <w:sz w:val="24"/>
          <w:szCs w:val="20"/>
        </w:rPr>
        <w:fldChar w:fldCharType="begin"/>
      </w:r>
      <w:r w:rsidR="009E2AE5" w:rsidRPr="00F05A7A">
        <w:rPr>
          <w:rFonts w:ascii="Arial" w:hAnsi="Arial" w:cs="Arial"/>
          <w:i w:val="0"/>
          <w:iCs w:val="0"/>
          <w:color w:val="auto"/>
          <w:sz w:val="24"/>
          <w:szCs w:val="20"/>
        </w:rPr>
        <w:instrText xml:space="preserve"> SEQ Quadro \* ARABIC </w:instrText>
      </w:r>
      <w:r w:rsidR="009E2AE5" w:rsidRPr="00F05A7A">
        <w:rPr>
          <w:rFonts w:ascii="Arial" w:hAnsi="Arial" w:cs="Arial"/>
          <w:i w:val="0"/>
          <w:color w:val="auto"/>
          <w:sz w:val="24"/>
          <w:szCs w:val="20"/>
        </w:rPr>
        <w:fldChar w:fldCharType="separate"/>
      </w:r>
      <w:r w:rsidR="00183530" w:rsidRPr="00F05A7A">
        <w:rPr>
          <w:rFonts w:ascii="Arial" w:hAnsi="Arial" w:cs="Arial"/>
          <w:i w:val="0"/>
          <w:iCs w:val="0"/>
          <w:noProof/>
          <w:color w:val="auto"/>
          <w:sz w:val="24"/>
          <w:szCs w:val="20"/>
        </w:rPr>
        <w:t>1</w:t>
      </w:r>
      <w:r w:rsidR="009E2AE5" w:rsidRPr="00F05A7A">
        <w:rPr>
          <w:rFonts w:ascii="Arial" w:hAnsi="Arial" w:cs="Arial"/>
          <w:i w:val="0"/>
          <w:color w:val="auto"/>
          <w:sz w:val="24"/>
          <w:szCs w:val="20"/>
        </w:rPr>
        <w:fldChar w:fldCharType="end"/>
      </w:r>
      <w:r w:rsidR="00F85A0C" w:rsidRPr="00F05A7A">
        <w:rPr>
          <w:rFonts w:ascii="Arial" w:hAnsi="Arial" w:cs="Arial"/>
          <w:i w:val="0"/>
          <w:iCs w:val="0"/>
          <w:color w:val="auto"/>
          <w:sz w:val="24"/>
          <w:szCs w:val="20"/>
        </w:rPr>
        <w:t xml:space="preserve"> - Empresas listadas na </w:t>
      </w:r>
      <w:r w:rsidR="00DA08A8" w:rsidRPr="00F05A7A">
        <w:rPr>
          <w:rFonts w:ascii="Arial" w:hAnsi="Arial" w:cs="Arial"/>
          <w:i w:val="0"/>
          <w:iCs w:val="0"/>
          <w:color w:val="auto"/>
          <w:sz w:val="24"/>
          <w:szCs w:val="20"/>
        </w:rPr>
        <w:t xml:space="preserve">B3 </w:t>
      </w:r>
      <w:r w:rsidR="00F85A0C" w:rsidRPr="00F05A7A">
        <w:rPr>
          <w:rFonts w:ascii="Arial" w:hAnsi="Arial" w:cs="Arial"/>
          <w:i w:val="0"/>
          <w:iCs w:val="0"/>
          <w:color w:val="auto"/>
          <w:sz w:val="24"/>
          <w:szCs w:val="20"/>
        </w:rPr>
        <w:t>no segmento de Carnes e seus derivados</w:t>
      </w:r>
      <w:r w:rsidR="005C6BB9" w:rsidRPr="00F05A7A">
        <w:rPr>
          <w:rFonts w:ascii="Arial" w:hAnsi="Arial" w:cs="Arial"/>
          <w:i w:val="0"/>
          <w:iCs w:val="0"/>
          <w:color w:val="auto"/>
          <w:sz w:val="24"/>
          <w:szCs w:val="20"/>
        </w:rPr>
        <w:t>.</w:t>
      </w:r>
    </w:p>
    <w:tbl>
      <w:tblPr>
        <w:tblW w:w="9012" w:type="dxa"/>
        <w:jc w:val="center"/>
        <w:tblCellMar>
          <w:left w:w="70" w:type="dxa"/>
          <w:right w:w="70" w:type="dxa"/>
        </w:tblCellMar>
        <w:tblLook w:val="04A0" w:firstRow="1" w:lastRow="0" w:firstColumn="1" w:lastColumn="0" w:noHBand="0" w:noVBand="1"/>
      </w:tblPr>
      <w:tblGrid>
        <w:gridCol w:w="5817"/>
        <w:gridCol w:w="1960"/>
        <w:gridCol w:w="1235"/>
      </w:tblGrid>
      <w:tr w:rsidR="00F05A7A" w:rsidRPr="00F05A7A" w14:paraId="09B5D894" w14:textId="77777777" w:rsidTr="005C6BB9">
        <w:trPr>
          <w:trHeight w:val="300"/>
          <w:jc w:val="center"/>
        </w:trPr>
        <w:tc>
          <w:tcPr>
            <w:tcW w:w="5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45B79" w14:textId="77777777" w:rsidR="00A55C0A" w:rsidRPr="00F05A7A" w:rsidRDefault="00A55C0A" w:rsidP="00F05A7A">
            <w:pPr>
              <w:spacing w:after="0" w:line="240" w:lineRule="auto"/>
              <w:contextualSpacing/>
              <w:jc w:val="center"/>
              <w:rPr>
                <w:rFonts w:ascii="Arial" w:eastAsia="Times New Roman" w:hAnsi="Arial" w:cs="Arial"/>
                <w:sz w:val="20"/>
                <w:szCs w:val="20"/>
                <w:lang w:eastAsia="pt-BR"/>
              </w:rPr>
            </w:pPr>
            <w:r w:rsidRPr="00F05A7A">
              <w:rPr>
                <w:rFonts w:ascii="Arial" w:eastAsia="Times New Roman" w:hAnsi="Arial" w:cs="Arial"/>
                <w:sz w:val="20"/>
                <w:szCs w:val="20"/>
                <w:lang w:eastAsia="pt-BR"/>
              </w:rPr>
              <w:t>Razão Social</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14:paraId="285609C0" w14:textId="77777777" w:rsidR="00A55C0A" w:rsidRPr="00F05A7A" w:rsidRDefault="00A55C0A" w:rsidP="00F05A7A">
            <w:pPr>
              <w:spacing w:after="0" w:line="240" w:lineRule="auto"/>
              <w:contextualSpacing/>
              <w:jc w:val="center"/>
              <w:rPr>
                <w:rFonts w:ascii="Arial" w:eastAsia="Times New Roman" w:hAnsi="Arial" w:cs="Arial"/>
                <w:sz w:val="20"/>
                <w:szCs w:val="20"/>
                <w:lang w:eastAsia="pt-BR"/>
              </w:rPr>
            </w:pPr>
            <w:r w:rsidRPr="00F05A7A">
              <w:rPr>
                <w:rFonts w:ascii="Arial" w:eastAsia="Times New Roman" w:hAnsi="Arial" w:cs="Arial"/>
                <w:sz w:val="20"/>
                <w:szCs w:val="20"/>
                <w:lang w:eastAsia="pt-BR"/>
              </w:rPr>
              <w:t>Nome de Pregão</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14:paraId="07C0C798" w14:textId="77777777" w:rsidR="00A55C0A" w:rsidRPr="00F05A7A" w:rsidRDefault="00A55C0A" w:rsidP="00F05A7A">
            <w:pPr>
              <w:spacing w:after="0" w:line="240" w:lineRule="auto"/>
              <w:contextualSpacing/>
              <w:jc w:val="center"/>
              <w:rPr>
                <w:rFonts w:ascii="Arial" w:eastAsia="Times New Roman" w:hAnsi="Arial" w:cs="Arial"/>
                <w:sz w:val="20"/>
                <w:szCs w:val="20"/>
                <w:lang w:eastAsia="pt-BR"/>
              </w:rPr>
            </w:pPr>
            <w:r w:rsidRPr="00F05A7A">
              <w:rPr>
                <w:rFonts w:ascii="Arial" w:eastAsia="Times New Roman" w:hAnsi="Arial" w:cs="Arial"/>
                <w:sz w:val="20"/>
                <w:szCs w:val="20"/>
                <w:lang w:eastAsia="pt-BR"/>
              </w:rPr>
              <w:t>Segmento</w:t>
            </w:r>
          </w:p>
        </w:tc>
      </w:tr>
      <w:tr w:rsidR="00F05A7A" w:rsidRPr="00F05A7A" w14:paraId="75D95401" w14:textId="77777777" w:rsidTr="005C6BB9">
        <w:trPr>
          <w:trHeight w:val="300"/>
          <w:jc w:val="center"/>
        </w:trPr>
        <w:tc>
          <w:tcPr>
            <w:tcW w:w="5817" w:type="dxa"/>
            <w:tcBorders>
              <w:top w:val="nil"/>
              <w:left w:val="single" w:sz="4" w:space="0" w:color="auto"/>
              <w:bottom w:val="single" w:sz="4" w:space="0" w:color="auto"/>
              <w:right w:val="single" w:sz="4" w:space="0" w:color="auto"/>
            </w:tcBorders>
            <w:shd w:val="clear" w:color="000000" w:fill="FFFFFF"/>
            <w:noWrap/>
            <w:vAlign w:val="center"/>
            <w:hideMark/>
          </w:tcPr>
          <w:p w14:paraId="20426EBF" w14:textId="77777777" w:rsidR="00A55C0A" w:rsidRPr="00F05A7A" w:rsidRDefault="00F954E6" w:rsidP="00F05A7A">
            <w:pPr>
              <w:spacing w:after="0" w:line="240" w:lineRule="auto"/>
              <w:contextualSpacing/>
              <w:rPr>
                <w:rFonts w:ascii="Arial" w:eastAsia="Times New Roman" w:hAnsi="Arial" w:cs="Arial"/>
                <w:sz w:val="20"/>
                <w:szCs w:val="20"/>
                <w:lang w:eastAsia="pt-BR"/>
              </w:rPr>
            </w:pPr>
            <w:hyperlink r:id="rId8" w:history="1">
              <w:r w:rsidR="00A55C0A" w:rsidRPr="00F05A7A">
                <w:rPr>
                  <w:rFonts w:ascii="Arial" w:eastAsia="Times New Roman" w:hAnsi="Arial" w:cs="Arial"/>
                  <w:sz w:val="20"/>
                  <w:szCs w:val="20"/>
                  <w:lang w:eastAsia="pt-BR"/>
                </w:rPr>
                <w:t>BRF S.A.</w:t>
              </w:r>
            </w:hyperlink>
          </w:p>
        </w:tc>
        <w:tc>
          <w:tcPr>
            <w:tcW w:w="1960" w:type="dxa"/>
            <w:tcBorders>
              <w:top w:val="nil"/>
              <w:left w:val="nil"/>
              <w:bottom w:val="single" w:sz="4" w:space="0" w:color="auto"/>
              <w:right w:val="single" w:sz="4" w:space="0" w:color="auto"/>
            </w:tcBorders>
            <w:shd w:val="clear" w:color="000000" w:fill="FFFFFF"/>
            <w:noWrap/>
            <w:vAlign w:val="center"/>
            <w:hideMark/>
          </w:tcPr>
          <w:p w14:paraId="2F9F6C15" w14:textId="77777777" w:rsidR="00A55C0A" w:rsidRPr="00F05A7A" w:rsidRDefault="00F954E6" w:rsidP="00F05A7A">
            <w:pPr>
              <w:spacing w:after="0" w:line="240" w:lineRule="auto"/>
              <w:contextualSpacing/>
              <w:rPr>
                <w:rFonts w:ascii="Arial" w:eastAsia="Times New Roman" w:hAnsi="Arial" w:cs="Arial"/>
                <w:sz w:val="20"/>
                <w:szCs w:val="20"/>
                <w:lang w:eastAsia="pt-BR"/>
              </w:rPr>
            </w:pPr>
            <w:hyperlink r:id="rId9" w:history="1">
              <w:r w:rsidR="00A55C0A" w:rsidRPr="00F05A7A">
                <w:rPr>
                  <w:rFonts w:ascii="Arial" w:eastAsia="Times New Roman" w:hAnsi="Arial" w:cs="Arial"/>
                  <w:sz w:val="20"/>
                  <w:szCs w:val="20"/>
                  <w:lang w:eastAsia="pt-BR"/>
                </w:rPr>
                <w:t>BRF SA</w:t>
              </w:r>
            </w:hyperlink>
          </w:p>
        </w:tc>
        <w:tc>
          <w:tcPr>
            <w:tcW w:w="1235" w:type="dxa"/>
            <w:tcBorders>
              <w:top w:val="nil"/>
              <w:left w:val="nil"/>
              <w:bottom w:val="single" w:sz="4" w:space="0" w:color="auto"/>
              <w:right w:val="single" w:sz="4" w:space="0" w:color="auto"/>
            </w:tcBorders>
            <w:shd w:val="clear" w:color="000000" w:fill="FFFFFF"/>
            <w:noWrap/>
            <w:vAlign w:val="center"/>
            <w:hideMark/>
          </w:tcPr>
          <w:p w14:paraId="12021B2D" w14:textId="77777777" w:rsidR="00A55C0A" w:rsidRPr="00F05A7A" w:rsidRDefault="00A55C0A" w:rsidP="00F05A7A">
            <w:pPr>
              <w:spacing w:after="0" w:line="240" w:lineRule="auto"/>
              <w:contextualSpacing/>
              <w:jc w:val="center"/>
              <w:rPr>
                <w:rFonts w:ascii="Arial" w:eastAsia="Times New Roman" w:hAnsi="Arial" w:cs="Arial"/>
                <w:sz w:val="20"/>
                <w:szCs w:val="20"/>
                <w:lang w:eastAsia="pt-BR"/>
              </w:rPr>
            </w:pPr>
            <w:r w:rsidRPr="00F05A7A">
              <w:rPr>
                <w:rFonts w:ascii="Arial" w:eastAsia="Times New Roman" w:hAnsi="Arial" w:cs="Arial"/>
                <w:sz w:val="20"/>
                <w:szCs w:val="20"/>
                <w:lang w:eastAsia="pt-BR"/>
              </w:rPr>
              <w:t>NM</w:t>
            </w:r>
          </w:p>
        </w:tc>
      </w:tr>
      <w:tr w:rsidR="00F05A7A" w:rsidRPr="00F05A7A" w14:paraId="090B5235" w14:textId="77777777" w:rsidTr="005C6BB9">
        <w:trPr>
          <w:trHeight w:val="300"/>
          <w:jc w:val="center"/>
        </w:trPr>
        <w:tc>
          <w:tcPr>
            <w:tcW w:w="5817" w:type="dxa"/>
            <w:tcBorders>
              <w:top w:val="nil"/>
              <w:left w:val="single" w:sz="4" w:space="0" w:color="auto"/>
              <w:bottom w:val="single" w:sz="4" w:space="0" w:color="auto"/>
              <w:right w:val="single" w:sz="4" w:space="0" w:color="auto"/>
            </w:tcBorders>
            <w:shd w:val="clear" w:color="000000" w:fill="FFFFFF"/>
            <w:noWrap/>
            <w:vAlign w:val="center"/>
            <w:hideMark/>
          </w:tcPr>
          <w:p w14:paraId="2D788F38" w14:textId="77777777" w:rsidR="00A55C0A" w:rsidRPr="00F05A7A" w:rsidRDefault="00F954E6" w:rsidP="00F05A7A">
            <w:pPr>
              <w:spacing w:after="0" w:line="240" w:lineRule="auto"/>
              <w:contextualSpacing/>
              <w:rPr>
                <w:rFonts w:ascii="Arial" w:eastAsia="Times New Roman" w:hAnsi="Arial" w:cs="Arial"/>
                <w:sz w:val="20"/>
                <w:szCs w:val="20"/>
                <w:lang w:eastAsia="pt-BR"/>
              </w:rPr>
            </w:pPr>
            <w:hyperlink r:id="rId10" w:history="1">
              <w:r w:rsidR="00A55C0A" w:rsidRPr="00F05A7A">
                <w:rPr>
                  <w:rFonts w:ascii="Arial" w:eastAsia="Times New Roman" w:hAnsi="Arial" w:cs="Arial"/>
                  <w:sz w:val="20"/>
                  <w:szCs w:val="20"/>
                  <w:lang w:eastAsia="pt-BR"/>
                </w:rPr>
                <w:t>EXCELSIOR ALIMENTOS S.A.</w:t>
              </w:r>
            </w:hyperlink>
          </w:p>
        </w:tc>
        <w:tc>
          <w:tcPr>
            <w:tcW w:w="1960" w:type="dxa"/>
            <w:tcBorders>
              <w:top w:val="nil"/>
              <w:left w:val="nil"/>
              <w:bottom w:val="single" w:sz="4" w:space="0" w:color="auto"/>
              <w:right w:val="single" w:sz="4" w:space="0" w:color="auto"/>
            </w:tcBorders>
            <w:shd w:val="clear" w:color="000000" w:fill="FFFFFF"/>
            <w:noWrap/>
            <w:vAlign w:val="center"/>
            <w:hideMark/>
          </w:tcPr>
          <w:p w14:paraId="051B1DB5" w14:textId="77777777" w:rsidR="00A55C0A" w:rsidRPr="00F05A7A" w:rsidRDefault="00F954E6" w:rsidP="00F05A7A">
            <w:pPr>
              <w:spacing w:after="0" w:line="240" w:lineRule="auto"/>
              <w:contextualSpacing/>
              <w:rPr>
                <w:rFonts w:ascii="Arial" w:eastAsia="Times New Roman" w:hAnsi="Arial" w:cs="Arial"/>
                <w:sz w:val="20"/>
                <w:szCs w:val="20"/>
                <w:lang w:eastAsia="pt-BR"/>
              </w:rPr>
            </w:pPr>
            <w:hyperlink r:id="rId11" w:history="1">
              <w:r w:rsidR="00A55C0A" w:rsidRPr="00F05A7A">
                <w:rPr>
                  <w:rFonts w:ascii="Arial" w:eastAsia="Times New Roman" w:hAnsi="Arial" w:cs="Arial"/>
                  <w:sz w:val="20"/>
                  <w:szCs w:val="20"/>
                  <w:lang w:eastAsia="pt-BR"/>
                </w:rPr>
                <w:t>EXCELSIOR</w:t>
              </w:r>
            </w:hyperlink>
          </w:p>
        </w:tc>
        <w:tc>
          <w:tcPr>
            <w:tcW w:w="1235" w:type="dxa"/>
            <w:tcBorders>
              <w:top w:val="nil"/>
              <w:left w:val="nil"/>
              <w:bottom w:val="single" w:sz="4" w:space="0" w:color="auto"/>
              <w:right w:val="single" w:sz="4" w:space="0" w:color="auto"/>
            </w:tcBorders>
            <w:shd w:val="clear" w:color="000000" w:fill="FFFFFF"/>
            <w:noWrap/>
            <w:vAlign w:val="center"/>
            <w:hideMark/>
          </w:tcPr>
          <w:p w14:paraId="7C4F4B5E" w14:textId="77777777" w:rsidR="00A55C0A" w:rsidRPr="00F05A7A" w:rsidRDefault="00A55C0A" w:rsidP="00F05A7A">
            <w:pPr>
              <w:spacing w:after="0" w:line="240" w:lineRule="auto"/>
              <w:contextualSpacing/>
              <w:jc w:val="center"/>
              <w:rPr>
                <w:rFonts w:ascii="Arial" w:eastAsia="Times New Roman" w:hAnsi="Arial" w:cs="Arial"/>
                <w:sz w:val="20"/>
                <w:szCs w:val="20"/>
                <w:lang w:eastAsia="pt-BR"/>
              </w:rPr>
            </w:pPr>
            <w:r w:rsidRPr="00F05A7A">
              <w:rPr>
                <w:rFonts w:ascii="Arial" w:eastAsia="Times New Roman" w:hAnsi="Arial" w:cs="Arial"/>
                <w:sz w:val="20"/>
                <w:szCs w:val="20"/>
                <w:lang w:eastAsia="pt-BR"/>
              </w:rPr>
              <w:t> </w:t>
            </w:r>
          </w:p>
        </w:tc>
      </w:tr>
      <w:tr w:rsidR="00F05A7A" w:rsidRPr="00F05A7A" w14:paraId="47152DE1" w14:textId="77777777" w:rsidTr="005C6BB9">
        <w:trPr>
          <w:trHeight w:val="300"/>
          <w:jc w:val="center"/>
        </w:trPr>
        <w:tc>
          <w:tcPr>
            <w:tcW w:w="5817" w:type="dxa"/>
            <w:tcBorders>
              <w:top w:val="nil"/>
              <w:left w:val="single" w:sz="4" w:space="0" w:color="auto"/>
              <w:bottom w:val="single" w:sz="4" w:space="0" w:color="auto"/>
              <w:right w:val="single" w:sz="4" w:space="0" w:color="auto"/>
            </w:tcBorders>
            <w:shd w:val="clear" w:color="000000" w:fill="FFFFFF"/>
            <w:noWrap/>
            <w:vAlign w:val="center"/>
            <w:hideMark/>
          </w:tcPr>
          <w:p w14:paraId="125D74E0" w14:textId="77777777" w:rsidR="00A55C0A" w:rsidRPr="00F05A7A" w:rsidRDefault="006C7FEE" w:rsidP="00F05A7A">
            <w:pPr>
              <w:spacing w:after="0" w:line="240" w:lineRule="auto"/>
              <w:contextualSpacing/>
              <w:rPr>
                <w:rFonts w:ascii="Arial" w:eastAsia="Times New Roman" w:hAnsi="Arial" w:cs="Arial"/>
                <w:sz w:val="20"/>
                <w:szCs w:val="20"/>
                <w:lang w:eastAsia="pt-BR"/>
              </w:rPr>
            </w:pPr>
            <w:r w:rsidRPr="00F05A7A">
              <w:rPr>
                <w:rFonts w:ascii="Arial" w:eastAsia="Times New Roman" w:hAnsi="Arial" w:cs="Arial"/>
                <w:sz w:val="20"/>
                <w:szCs w:val="20"/>
                <w:lang w:eastAsia="pt-BR"/>
              </w:rPr>
              <w:t>JBS S.A.</w:t>
            </w:r>
          </w:p>
        </w:tc>
        <w:tc>
          <w:tcPr>
            <w:tcW w:w="1960" w:type="dxa"/>
            <w:tcBorders>
              <w:top w:val="nil"/>
              <w:left w:val="nil"/>
              <w:bottom w:val="single" w:sz="4" w:space="0" w:color="auto"/>
              <w:right w:val="single" w:sz="4" w:space="0" w:color="auto"/>
            </w:tcBorders>
            <w:shd w:val="clear" w:color="000000" w:fill="FFFFFF"/>
            <w:noWrap/>
            <w:vAlign w:val="center"/>
            <w:hideMark/>
          </w:tcPr>
          <w:p w14:paraId="26598301" w14:textId="77777777" w:rsidR="00A55C0A" w:rsidRPr="00F05A7A" w:rsidRDefault="00F954E6" w:rsidP="00F05A7A">
            <w:pPr>
              <w:spacing w:after="0" w:line="240" w:lineRule="auto"/>
              <w:contextualSpacing/>
              <w:rPr>
                <w:rFonts w:ascii="Arial" w:eastAsia="Times New Roman" w:hAnsi="Arial" w:cs="Arial"/>
                <w:sz w:val="20"/>
                <w:szCs w:val="20"/>
                <w:lang w:eastAsia="pt-BR"/>
              </w:rPr>
            </w:pPr>
            <w:hyperlink r:id="rId12" w:history="1">
              <w:r w:rsidR="00A55C0A" w:rsidRPr="00F05A7A">
                <w:rPr>
                  <w:rFonts w:ascii="Arial" w:eastAsia="Times New Roman" w:hAnsi="Arial" w:cs="Arial"/>
                  <w:sz w:val="20"/>
                  <w:szCs w:val="20"/>
                  <w:lang w:eastAsia="pt-BR"/>
                </w:rPr>
                <w:t>JBS</w:t>
              </w:r>
            </w:hyperlink>
          </w:p>
        </w:tc>
        <w:tc>
          <w:tcPr>
            <w:tcW w:w="1235" w:type="dxa"/>
            <w:tcBorders>
              <w:top w:val="nil"/>
              <w:left w:val="nil"/>
              <w:bottom w:val="single" w:sz="4" w:space="0" w:color="auto"/>
              <w:right w:val="single" w:sz="4" w:space="0" w:color="auto"/>
            </w:tcBorders>
            <w:shd w:val="clear" w:color="000000" w:fill="FFFFFF"/>
            <w:noWrap/>
            <w:vAlign w:val="center"/>
            <w:hideMark/>
          </w:tcPr>
          <w:p w14:paraId="530377BB" w14:textId="77777777" w:rsidR="00A55C0A" w:rsidRPr="00F05A7A" w:rsidRDefault="00A55C0A" w:rsidP="00F05A7A">
            <w:pPr>
              <w:spacing w:after="0" w:line="240" w:lineRule="auto"/>
              <w:contextualSpacing/>
              <w:jc w:val="center"/>
              <w:rPr>
                <w:rFonts w:ascii="Arial" w:eastAsia="Times New Roman" w:hAnsi="Arial" w:cs="Arial"/>
                <w:sz w:val="20"/>
                <w:szCs w:val="20"/>
                <w:lang w:eastAsia="pt-BR"/>
              </w:rPr>
            </w:pPr>
            <w:r w:rsidRPr="00F05A7A">
              <w:rPr>
                <w:rFonts w:ascii="Arial" w:eastAsia="Times New Roman" w:hAnsi="Arial" w:cs="Arial"/>
                <w:sz w:val="20"/>
                <w:szCs w:val="20"/>
                <w:lang w:eastAsia="pt-BR"/>
              </w:rPr>
              <w:t>NM</w:t>
            </w:r>
          </w:p>
        </w:tc>
      </w:tr>
      <w:tr w:rsidR="00F05A7A" w:rsidRPr="00F05A7A" w14:paraId="0C4B5B72" w14:textId="77777777" w:rsidTr="005C6BB9">
        <w:trPr>
          <w:trHeight w:val="300"/>
          <w:jc w:val="center"/>
        </w:trPr>
        <w:tc>
          <w:tcPr>
            <w:tcW w:w="5817" w:type="dxa"/>
            <w:tcBorders>
              <w:top w:val="nil"/>
              <w:left w:val="single" w:sz="4" w:space="0" w:color="auto"/>
              <w:bottom w:val="single" w:sz="4" w:space="0" w:color="auto"/>
              <w:right w:val="single" w:sz="4" w:space="0" w:color="auto"/>
            </w:tcBorders>
            <w:shd w:val="clear" w:color="000000" w:fill="FFFFFF"/>
            <w:noWrap/>
            <w:vAlign w:val="center"/>
            <w:hideMark/>
          </w:tcPr>
          <w:p w14:paraId="128DEEA0" w14:textId="1F3798BA" w:rsidR="00A55C0A" w:rsidRPr="00F05A7A" w:rsidRDefault="00715730" w:rsidP="00F05A7A">
            <w:pPr>
              <w:spacing w:after="0" w:line="240" w:lineRule="auto"/>
              <w:contextualSpacing/>
              <w:rPr>
                <w:rFonts w:ascii="Arial" w:eastAsia="Times New Roman" w:hAnsi="Arial" w:cs="Arial"/>
                <w:sz w:val="20"/>
                <w:szCs w:val="20"/>
                <w:lang w:val="en-US" w:eastAsia="pt-BR"/>
              </w:rPr>
            </w:pPr>
            <w:r w:rsidRPr="00F05A7A">
              <w:rPr>
                <w:rFonts w:ascii="Arial" w:eastAsia="Times New Roman" w:hAnsi="Arial" w:cs="Arial"/>
                <w:sz w:val="20"/>
                <w:szCs w:val="20"/>
                <w:lang w:val="en-US" w:eastAsia="pt-BR"/>
              </w:rPr>
              <w:t>MANFRIG GLOBAL FOODS S.A.</w:t>
            </w:r>
          </w:p>
        </w:tc>
        <w:tc>
          <w:tcPr>
            <w:tcW w:w="1960" w:type="dxa"/>
            <w:tcBorders>
              <w:top w:val="nil"/>
              <w:left w:val="nil"/>
              <w:bottom w:val="single" w:sz="4" w:space="0" w:color="auto"/>
              <w:right w:val="single" w:sz="4" w:space="0" w:color="auto"/>
            </w:tcBorders>
            <w:shd w:val="clear" w:color="000000" w:fill="FFFFFF"/>
            <w:noWrap/>
            <w:vAlign w:val="center"/>
            <w:hideMark/>
          </w:tcPr>
          <w:p w14:paraId="6A083A74" w14:textId="77777777" w:rsidR="00A55C0A" w:rsidRPr="00F05A7A" w:rsidRDefault="00F954E6" w:rsidP="00F05A7A">
            <w:pPr>
              <w:spacing w:after="0" w:line="240" w:lineRule="auto"/>
              <w:contextualSpacing/>
              <w:rPr>
                <w:rFonts w:ascii="Arial" w:eastAsia="Times New Roman" w:hAnsi="Arial" w:cs="Arial"/>
                <w:sz w:val="20"/>
                <w:szCs w:val="20"/>
                <w:lang w:eastAsia="pt-BR"/>
              </w:rPr>
            </w:pPr>
            <w:hyperlink r:id="rId13" w:history="1">
              <w:r w:rsidR="00A55C0A" w:rsidRPr="00F05A7A">
                <w:rPr>
                  <w:rFonts w:ascii="Arial" w:eastAsia="Times New Roman" w:hAnsi="Arial" w:cs="Arial"/>
                  <w:sz w:val="20"/>
                  <w:szCs w:val="20"/>
                  <w:lang w:eastAsia="pt-BR"/>
                </w:rPr>
                <w:t>MARFRIG</w:t>
              </w:r>
            </w:hyperlink>
          </w:p>
        </w:tc>
        <w:tc>
          <w:tcPr>
            <w:tcW w:w="1235" w:type="dxa"/>
            <w:tcBorders>
              <w:top w:val="nil"/>
              <w:left w:val="nil"/>
              <w:bottom w:val="single" w:sz="4" w:space="0" w:color="auto"/>
              <w:right w:val="single" w:sz="4" w:space="0" w:color="auto"/>
            </w:tcBorders>
            <w:shd w:val="clear" w:color="000000" w:fill="FFFFFF"/>
            <w:noWrap/>
            <w:vAlign w:val="center"/>
            <w:hideMark/>
          </w:tcPr>
          <w:p w14:paraId="58B7552C" w14:textId="77777777" w:rsidR="00A55C0A" w:rsidRPr="00F05A7A" w:rsidRDefault="00A55C0A" w:rsidP="00F05A7A">
            <w:pPr>
              <w:spacing w:after="0" w:line="240" w:lineRule="auto"/>
              <w:contextualSpacing/>
              <w:jc w:val="center"/>
              <w:rPr>
                <w:rFonts w:ascii="Arial" w:eastAsia="Times New Roman" w:hAnsi="Arial" w:cs="Arial"/>
                <w:sz w:val="20"/>
                <w:szCs w:val="20"/>
                <w:lang w:eastAsia="pt-BR"/>
              </w:rPr>
            </w:pPr>
            <w:r w:rsidRPr="00F05A7A">
              <w:rPr>
                <w:rFonts w:ascii="Arial" w:eastAsia="Times New Roman" w:hAnsi="Arial" w:cs="Arial"/>
                <w:sz w:val="20"/>
                <w:szCs w:val="20"/>
                <w:lang w:eastAsia="pt-BR"/>
              </w:rPr>
              <w:t>NM</w:t>
            </w:r>
          </w:p>
        </w:tc>
      </w:tr>
      <w:tr w:rsidR="00F05A7A" w:rsidRPr="00F05A7A" w14:paraId="7E469164" w14:textId="77777777" w:rsidTr="005C6BB9">
        <w:trPr>
          <w:trHeight w:val="300"/>
          <w:jc w:val="center"/>
        </w:trPr>
        <w:tc>
          <w:tcPr>
            <w:tcW w:w="5817" w:type="dxa"/>
            <w:tcBorders>
              <w:top w:val="nil"/>
              <w:left w:val="single" w:sz="4" w:space="0" w:color="auto"/>
              <w:bottom w:val="single" w:sz="4" w:space="0" w:color="auto"/>
              <w:right w:val="single" w:sz="4" w:space="0" w:color="auto"/>
            </w:tcBorders>
            <w:shd w:val="clear" w:color="000000" w:fill="FFFFFF"/>
            <w:noWrap/>
            <w:vAlign w:val="center"/>
            <w:hideMark/>
          </w:tcPr>
          <w:p w14:paraId="41FFCB74" w14:textId="77777777" w:rsidR="00A55C0A" w:rsidRPr="00F05A7A" w:rsidRDefault="00F954E6" w:rsidP="00F05A7A">
            <w:pPr>
              <w:spacing w:after="0" w:line="240" w:lineRule="auto"/>
              <w:contextualSpacing/>
              <w:rPr>
                <w:rFonts w:ascii="Arial" w:eastAsia="Times New Roman" w:hAnsi="Arial" w:cs="Arial"/>
                <w:sz w:val="20"/>
                <w:szCs w:val="20"/>
                <w:lang w:eastAsia="pt-BR"/>
              </w:rPr>
            </w:pPr>
            <w:hyperlink r:id="rId14" w:history="1">
              <w:r w:rsidR="00A55C0A" w:rsidRPr="00F05A7A">
                <w:rPr>
                  <w:rFonts w:ascii="Arial" w:eastAsia="Times New Roman" w:hAnsi="Arial" w:cs="Arial"/>
                  <w:sz w:val="20"/>
                  <w:szCs w:val="20"/>
                  <w:lang w:eastAsia="pt-BR"/>
                </w:rPr>
                <w:t>MINERVA S.A.</w:t>
              </w:r>
            </w:hyperlink>
          </w:p>
        </w:tc>
        <w:tc>
          <w:tcPr>
            <w:tcW w:w="1960" w:type="dxa"/>
            <w:tcBorders>
              <w:top w:val="nil"/>
              <w:left w:val="nil"/>
              <w:bottom w:val="single" w:sz="4" w:space="0" w:color="auto"/>
              <w:right w:val="single" w:sz="4" w:space="0" w:color="auto"/>
            </w:tcBorders>
            <w:shd w:val="clear" w:color="000000" w:fill="FFFFFF"/>
            <w:noWrap/>
            <w:vAlign w:val="center"/>
            <w:hideMark/>
          </w:tcPr>
          <w:p w14:paraId="0D2CECF9" w14:textId="77777777" w:rsidR="00A55C0A" w:rsidRPr="00F05A7A" w:rsidRDefault="00F954E6" w:rsidP="00F05A7A">
            <w:pPr>
              <w:spacing w:after="0" w:line="240" w:lineRule="auto"/>
              <w:contextualSpacing/>
              <w:rPr>
                <w:rFonts w:ascii="Arial" w:eastAsia="Times New Roman" w:hAnsi="Arial" w:cs="Arial"/>
                <w:sz w:val="20"/>
                <w:szCs w:val="20"/>
                <w:lang w:eastAsia="pt-BR"/>
              </w:rPr>
            </w:pPr>
            <w:hyperlink r:id="rId15" w:history="1">
              <w:r w:rsidR="00A55C0A" w:rsidRPr="00F05A7A">
                <w:rPr>
                  <w:rFonts w:ascii="Arial" w:eastAsia="Times New Roman" w:hAnsi="Arial" w:cs="Arial"/>
                  <w:sz w:val="20"/>
                  <w:szCs w:val="20"/>
                  <w:lang w:eastAsia="pt-BR"/>
                </w:rPr>
                <w:t>MINERVA</w:t>
              </w:r>
            </w:hyperlink>
          </w:p>
        </w:tc>
        <w:tc>
          <w:tcPr>
            <w:tcW w:w="1235" w:type="dxa"/>
            <w:tcBorders>
              <w:top w:val="nil"/>
              <w:left w:val="nil"/>
              <w:bottom w:val="single" w:sz="4" w:space="0" w:color="auto"/>
              <w:right w:val="single" w:sz="4" w:space="0" w:color="auto"/>
            </w:tcBorders>
            <w:shd w:val="clear" w:color="000000" w:fill="FFFFFF"/>
            <w:noWrap/>
            <w:vAlign w:val="center"/>
            <w:hideMark/>
          </w:tcPr>
          <w:p w14:paraId="0F8BB90B" w14:textId="77777777" w:rsidR="00A55C0A" w:rsidRPr="00F05A7A" w:rsidRDefault="00A55C0A" w:rsidP="00F05A7A">
            <w:pPr>
              <w:spacing w:after="0" w:line="240" w:lineRule="auto"/>
              <w:contextualSpacing/>
              <w:jc w:val="center"/>
              <w:rPr>
                <w:rFonts w:ascii="Arial" w:eastAsia="Times New Roman" w:hAnsi="Arial" w:cs="Arial"/>
                <w:sz w:val="20"/>
                <w:szCs w:val="20"/>
                <w:lang w:eastAsia="pt-BR"/>
              </w:rPr>
            </w:pPr>
            <w:r w:rsidRPr="00F05A7A">
              <w:rPr>
                <w:rFonts w:ascii="Arial" w:eastAsia="Times New Roman" w:hAnsi="Arial" w:cs="Arial"/>
                <w:sz w:val="20"/>
                <w:szCs w:val="20"/>
                <w:lang w:eastAsia="pt-BR"/>
              </w:rPr>
              <w:t>NM</w:t>
            </w:r>
          </w:p>
        </w:tc>
      </w:tr>
      <w:tr w:rsidR="00F05A7A" w:rsidRPr="00F05A7A" w14:paraId="6FAB67A2" w14:textId="77777777" w:rsidTr="005C6BB9">
        <w:trPr>
          <w:trHeight w:val="300"/>
          <w:jc w:val="center"/>
        </w:trPr>
        <w:tc>
          <w:tcPr>
            <w:tcW w:w="5817" w:type="dxa"/>
            <w:tcBorders>
              <w:top w:val="nil"/>
              <w:left w:val="single" w:sz="4" w:space="0" w:color="auto"/>
              <w:bottom w:val="single" w:sz="4" w:space="0" w:color="auto"/>
              <w:right w:val="single" w:sz="4" w:space="0" w:color="auto"/>
            </w:tcBorders>
            <w:shd w:val="clear" w:color="000000" w:fill="FFFFFF"/>
            <w:noWrap/>
            <w:vAlign w:val="center"/>
            <w:hideMark/>
          </w:tcPr>
          <w:p w14:paraId="7444A495" w14:textId="77777777" w:rsidR="00A55C0A" w:rsidRPr="00F05A7A" w:rsidRDefault="00F954E6" w:rsidP="00F05A7A">
            <w:pPr>
              <w:spacing w:after="0" w:line="240" w:lineRule="auto"/>
              <w:contextualSpacing/>
              <w:rPr>
                <w:rFonts w:ascii="Arial" w:eastAsia="Times New Roman" w:hAnsi="Arial" w:cs="Arial"/>
                <w:sz w:val="20"/>
                <w:szCs w:val="20"/>
                <w:lang w:eastAsia="pt-BR"/>
              </w:rPr>
            </w:pPr>
            <w:hyperlink r:id="rId16" w:history="1">
              <w:r w:rsidR="00A55C0A" w:rsidRPr="00F05A7A">
                <w:rPr>
                  <w:rFonts w:ascii="Arial" w:eastAsia="Times New Roman" w:hAnsi="Arial" w:cs="Arial"/>
                  <w:sz w:val="20"/>
                  <w:szCs w:val="20"/>
                  <w:lang w:eastAsia="pt-BR"/>
                </w:rPr>
                <w:t>MINUPAR PARTICIPACOES S.A.</w:t>
              </w:r>
            </w:hyperlink>
          </w:p>
        </w:tc>
        <w:tc>
          <w:tcPr>
            <w:tcW w:w="1960" w:type="dxa"/>
            <w:tcBorders>
              <w:top w:val="nil"/>
              <w:left w:val="nil"/>
              <w:bottom w:val="single" w:sz="4" w:space="0" w:color="auto"/>
              <w:right w:val="single" w:sz="4" w:space="0" w:color="auto"/>
            </w:tcBorders>
            <w:shd w:val="clear" w:color="000000" w:fill="FFFFFF"/>
            <w:noWrap/>
            <w:vAlign w:val="center"/>
            <w:hideMark/>
          </w:tcPr>
          <w:p w14:paraId="086AE0B1" w14:textId="77777777" w:rsidR="00A55C0A" w:rsidRPr="00F05A7A" w:rsidRDefault="00F954E6" w:rsidP="00F05A7A">
            <w:pPr>
              <w:spacing w:after="0" w:line="240" w:lineRule="auto"/>
              <w:contextualSpacing/>
              <w:rPr>
                <w:rFonts w:ascii="Arial" w:eastAsia="Times New Roman" w:hAnsi="Arial" w:cs="Arial"/>
                <w:sz w:val="20"/>
                <w:szCs w:val="20"/>
                <w:lang w:eastAsia="pt-BR"/>
              </w:rPr>
            </w:pPr>
            <w:hyperlink r:id="rId17" w:history="1">
              <w:r w:rsidR="00A55C0A" w:rsidRPr="00F05A7A">
                <w:rPr>
                  <w:rFonts w:ascii="Arial" w:eastAsia="Times New Roman" w:hAnsi="Arial" w:cs="Arial"/>
                  <w:sz w:val="20"/>
                  <w:szCs w:val="20"/>
                  <w:lang w:eastAsia="pt-BR"/>
                </w:rPr>
                <w:t>MINUPAR</w:t>
              </w:r>
            </w:hyperlink>
          </w:p>
        </w:tc>
        <w:tc>
          <w:tcPr>
            <w:tcW w:w="1235" w:type="dxa"/>
            <w:tcBorders>
              <w:top w:val="nil"/>
              <w:left w:val="nil"/>
              <w:bottom w:val="single" w:sz="4" w:space="0" w:color="auto"/>
              <w:right w:val="single" w:sz="4" w:space="0" w:color="auto"/>
            </w:tcBorders>
            <w:shd w:val="clear" w:color="000000" w:fill="FFFFFF"/>
            <w:noWrap/>
            <w:vAlign w:val="center"/>
            <w:hideMark/>
          </w:tcPr>
          <w:p w14:paraId="073AA3D2" w14:textId="77777777" w:rsidR="00A55C0A" w:rsidRPr="00F05A7A" w:rsidRDefault="00A55C0A" w:rsidP="00F05A7A">
            <w:pPr>
              <w:spacing w:after="0" w:line="240" w:lineRule="auto"/>
              <w:contextualSpacing/>
              <w:jc w:val="center"/>
              <w:rPr>
                <w:rFonts w:ascii="Arial" w:eastAsia="Times New Roman" w:hAnsi="Arial" w:cs="Arial"/>
                <w:sz w:val="20"/>
                <w:szCs w:val="20"/>
                <w:lang w:eastAsia="pt-BR"/>
              </w:rPr>
            </w:pPr>
            <w:r w:rsidRPr="00F05A7A">
              <w:rPr>
                <w:rFonts w:ascii="Arial" w:eastAsia="Times New Roman" w:hAnsi="Arial" w:cs="Arial"/>
                <w:sz w:val="20"/>
                <w:szCs w:val="20"/>
                <w:lang w:eastAsia="pt-BR"/>
              </w:rPr>
              <w:t> </w:t>
            </w:r>
          </w:p>
        </w:tc>
      </w:tr>
    </w:tbl>
    <w:p w14:paraId="1DB3A279" w14:textId="3189D391" w:rsidR="00A55C0A" w:rsidRPr="00F05A7A" w:rsidRDefault="00032193" w:rsidP="00F05A7A">
      <w:pPr>
        <w:spacing w:after="0" w:line="240" w:lineRule="auto"/>
        <w:contextualSpacing/>
        <w:jc w:val="both"/>
        <w:rPr>
          <w:rFonts w:ascii="Arial" w:hAnsi="Arial" w:cs="Arial"/>
          <w:szCs w:val="20"/>
        </w:rPr>
      </w:pPr>
      <w:r w:rsidRPr="00F05A7A">
        <w:rPr>
          <w:rFonts w:ascii="Arial" w:hAnsi="Arial" w:cs="Arial"/>
          <w:szCs w:val="20"/>
        </w:rPr>
        <w:t>Fonte: B</w:t>
      </w:r>
      <w:r w:rsidR="00DA08A8" w:rsidRPr="00F05A7A">
        <w:rPr>
          <w:rFonts w:ascii="Arial" w:hAnsi="Arial" w:cs="Arial"/>
          <w:szCs w:val="20"/>
        </w:rPr>
        <w:t>3</w:t>
      </w:r>
      <w:r w:rsidR="00D851A8" w:rsidRPr="00F05A7A">
        <w:rPr>
          <w:rFonts w:ascii="Arial" w:hAnsi="Arial" w:cs="Arial"/>
          <w:szCs w:val="20"/>
        </w:rPr>
        <w:t>,</w:t>
      </w:r>
      <w:r w:rsidR="00DA08A8" w:rsidRPr="00F05A7A">
        <w:rPr>
          <w:rFonts w:ascii="Arial" w:hAnsi="Arial" w:cs="Arial"/>
          <w:szCs w:val="20"/>
        </w:rPr>
        <w:t xml:space="preserve"> </w:t>
      </w:r>
      <w:r w:rsidR="007E2062" w:rsidRPr="00F05A7A">
        <w:rPr>
          <w:rFonts w:ascii="Arial" w:hAnsi="Arial" w:cs="Arial"/>
          <w:szCs w:val="20"/>
        </w:rPr>
        <w:t>2017</w:t>
      </w:r>
      <w:r w:rsidR="00D851A8" w:rsidRPr="00F05A7A">
        <w:rPr>
          <w:rFonts w:ascii="Arial" w:hAnsi="Arial" w:cs="Arial"/>
          <w:szCs w:val="20"/>
        </w:rPr>
        <w:t>.</w:t>
      </w:r>
    </w:p>
    <w:p w14:paraId="2CBDF68D" w14:textId="77777777" w:rsidR="00E8054C" w:rsidRPr="00F05A7A" w:rsidRDefault="00E8054C" w:rsidP="00F05A7A">
      <w:pPr>
        <w:spacing w:after="0" w:line="360" w:lineRule="auto"/>
        <w:contextualSpacing/>
        <w:jc w:val="both"/>
        <w:rPr>
          <w:rFonts w:ascii="Arial" w:hAnsi="Arial" w:cs="Arial"/>
          <w:sz w:val="20"/>
          <w:szCs w:val="20"/>
        </w:rPr>
      </w:pPr>
    </w:p>
    <w:p w14:paraId="76D343F3" w14:textId="77777777" w:rsidR="009D07B3" w:rsidRPr="00F05A7A" w:rsidRDefault="00A55C0A"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Desta forma, dentre as </w:t>
      </w:r>
      <w:r w:rsidR="009D07B3" w:rsidRPr="00F05A7A">
        <w:rPr>
          <w:rFonts w:ascii="Arial" w:hAnsi="Arial" w:cs="Arial"/>
          <w:sz w:val="24"/>
          <w:szCs w:val="24"/>
        </w:rPr>
        <w:t xml:space="preserve">empresas </w:t>
      </w:r>
      <w:r w:rsidRPr="00F05A7A">
        <w:rPr>
          <w:rFonts w:ascii="Arial" w:hAnsi="Arial" w:cs="Arial"/>
          <w:sz w:val="24"/>
          <w:szCs w:val="24"/>
        </w:rPr>
        <w:t>existentes, a BRF foi escolhida para ser objeto de estudos para este trabalho</w:t>
      </w:r>
      <w:r w:rsidR="008B0F9C" w:rsidRPr="00F05A7A">
        <w:rPr>
          <w:rFonts w:ascii="Arial" w:hAnsi="Arial" w:cs="Arial"/>
          <w:sz w:val="24"/>
          <w:szCs w:val="24"/>
        </w:rPr>
        <w:t>, pois a mesma possui um histórico marcante na história societária do Brasil, sendo considerada resultado da maior fusão entre empresas, no Brasil e esteve na mídia com frequência no primeiro semestre de 2017, após a deflagração da operação carne fraca</w:t>
      </w:r>
      <w:r w:rsidRPr="00F05A7A">
        <w:rPr>
          <w:rFonts w:ascii="Arial" w:hAnsi="Arial" w:cs="Arial"/>
          <w:sz w:val="24"/>
          <w:szCs w:val="24"/>
        </w:rPr>
        <w:t>. Após a escolha, foram selecionadas então as demonstrações financeiras</w:t>
      </w:r>
      <w:r w:rsidR="007712FB" w:rsidRPr="00F05A7A">
        <w:rPr>
          <w:rStyle w:val="Refdenotaderodap"/>
          <w:rFonts w:ascii="Arial" w:hAnsi="Arial" w:cs="Arial"/>
          <w:sz w:val="24"/>
          <w:szCs w:val="24"/>
        </w:rPr>
        <w:footnoteReference w:id="11"/>
      </w:r>
      <w:r w:rsidRPr="00F05A7A">
        <w:rPr>
          <w:rFonts w:ascii="Arial" w:hAnsi="Arial" w:cs="Arial"/>
          <w:sz w:val="24"/>
          <w:szCs w:val="24"/>
        </w:rPr>
        <w:t xml:space="preserve"> padronizadas com data base em 31/12/2016 para que as análises fossem efetuadas. </w:t>
      </w:r>
    </w:p>
    <w:p w14:paraId="579E867A" w14:textId="21E2AA8E" w:rsidR="00A55C0A" w:rsidRPr="00F05A7A" w:rsidRDefault="00A55C0A" w:rsidP="00F05A7A">
      <w:pPr>
        <w:spacing w:after="0" w:line="360" w:lineRule="auto"/>
        <w:ind w:firstLine="567"/>
        <w:contextualSpacing/>
        <w:jc w:val="both"/>
        <w:rPr>
          <w:rFonts w:ascii="Arial" w:hAnsi="Arial" w:cs="Arial"/>
          <w:sz w:val="24"/>
          <w:szCs w:val="24"/>
        </w:rPr>
      </w:pPr>
      <w:r w:rsidRPr="00F05A7A">
        <w:rPr>
          <w:rFonts w:ascii="Arial" w:hAnsi="Arial" w:cs="Arial"/>
          <w:sz w:val="24"/>
          <w:szCs w:val="24"/>
        </w:rPr>
        <w:t>Dentro ainda das demo</w:t>
      </w:r>
      <w:r w:rsidR="00FF66F9" w:rsidRPr="00F05A7A">
        <w:rPr>
          <w:rFonts w:ascii="Arial" w:hAnsi="Arial" w:cs="Arial"/>
          <w:sz w:val="24"/>
          <w:szCs w:val="24"/>
        </w:rPr>
        <w:t xml:space="preserve">nstrações padronizadas, foram </w:t>
      </w:r>
      <w:r w:rsidR="009E76D7" w:rsidRPr="00F05A7A">
        <w:rPr>
          <w:rFonts w:ascii="Arial" w:hAnsi="Arial" w:cs="Arial"/>
          <w:sz w:val="24"/>
          <w:szCs w:val="24"/>
        </w:rPr>
        <w:t>escolhidas</w:t>
      </w:r>
      <w:r w:rsidRPr="00F05A7A">
        <w:rPr>
          <w:rFonts w:ascii="Arial" w:hAnsi="Arial" w:cs="Arial"/>
          <w:sz w:val="24"/>
          <w:szCs w:val="24"/>
        </w:rPr>
        <w:t xml:space="preserve"> as demonstrações consolidadas e as notas explicativas, bem como foram incluídos na </w:t>
      </w:r>
      <w:r w:rsidRPr="00F05A7A">
        <w:rPr>
          <w:rFonts w:ascii="Arial" w:hAnsi="Arial" w:cs="Arial"/>
          <w:sz w:val="24"/>
          <w:szCs w:val="24"/>
        </w:rPr>
        <w:lastRenderedPageBreak/>
        <w:t>an</w:t>
      </w:r>
      <w:r w:rsidR="00A46B7A" w:rsidRPr="00F05A7A">
        <w:rPr>
          <w:rFonts w:ascii="Arial" w:hAnsi="Arial" w:cs="Arial"/>
          <w:sz w:val="24"/>
          <w:szCs w:val="24"/>
        </w:rPr>
        <w:t>á</w:t>
      </w:r>
      <w:r w:rsidRPr="00F05A7A">
        <w:rPr>
          <w:rFonts w:ascii="Arial" w:hAnsi="Arial" w:cs="Arial"/>
          <w:sz w:val="24"/>
          <w:szCs w:val="24"/>
        </w:rPr>
        <w:t xml:space="preserve">lise o relatório da administração da empresa e parecer da auditoria, para verificar se houve algum apontamento referente </w:t>
      </w:r>
      <w:r w:rsidR="001E5E6C" w:rsidRPr="00F05A7A">
        <w:rPr>
          <w:rFonts w:ascii="Arial" w:hAnsi="Arial" w:cs="Arial"/>
          <w:sz w:val="24"/>
          <w:szCs w:val="24"/>
        </w:rPr>
        <w:t>ao não cumprimento das norm</w:t>
      </w:r>
      <w:r w:rsidR="00DE15F7" w:rsidRPr="00F05A7A">
        <w:rPr>
          <w:rFonts w:ascii="Arial" w:hAnsi="Arial" w:cs="Arial"/>
          <w:sz w:val="24"/>
          <w:szCs w:val="24"/>
        </w:rPr>
        <w:t>as internacionais trazidas pela legislação e pelos</w:t>
      </w:r>
      <w:r w:rsidR="001E5E6C" w:rsidRPr="00F05A7A">
        <w:rPr>
          <w:rFonts w:ascii="Arial" w:hAnsi="Arial" w:cs="Arial"/>
          <w:sz w:val="24"/>
          <w:szCs w:val="24"/>
        </w:rPr>
        <w:t xml:space="preserve"> </w:t>
      </w:r>
      <w:r w:rsidR="00DE15F7" w:rsidRPr="00F05A7A">
        <w:rPr>
          <w:rFonts w:ascii="Arial" w:hAnsi="Arial" w:cs="Arial"/>
          <w:sz w:val="24"/>
          <w:szCs w:val="24"/>
        </w:rPr>
        <w:t>pronunciamentos</w:t>
      </w:r>
      <w:r w:rsidR="001E5E6C" w:rsidRPr="00F05A7A">
        <w:rPr>
          <w:rFonts w:ascii="Arial" w:hAnsi="Arial" w:cs="Arial"/>
          <w:sz w:val="24"/>
          <w:szCs w:val="24"/>
        </w:rPr>
        <w:t xml:space="preserve"> </w:t>
      </w:r>
      <w:r w:rsidR="00DE15F7" w:rsidRPr="00F05A7A">
        <w:rPr>
          <w:rFonts w:ascii="Arial" w:hAnsi="Arial" w:cs="Arial"/>
          <w:sz w:val="24"/>
          <w:szCs w:val="24"/>
        </w:rPr>
        <w:t>do CPC.</w:t>
      </w:r>
    </w:p>
    <w:p w14:paraId="7799E596" w14:textId="77777777" w:rsidR="006C7FEE" w:rsidRPr="00F05A7A" w:rsidRDefault="006C7FEE" w:rsidP="00F05A7A">
      <w:pPr>
        <w:spacing w:after="0" w:line="360" w:lineRule="auto"/>
        <w:ind w:firstLine="567"/>
        <w:contextualSpacing/>
        <w:jc w:val="both"/>
        <w:rPr>
          <w:rFonts w:ascii="Arial" w:hAnsi="Arial" w:cs="Arial"/>
          <w:sz w:val="24"/>
          <w:szCs w:val="24"/>
        </w:rPr>
      </w:pPr>
    </w:p>
    <w:p w14:paraId="6609A194" w14:textId="11FF2B2E" w:rsidR="003323A9" w:rsidRPr="00F05A7A" w:rsidRDefault="00F957BA" w:rsidP="00F05A7A">
      <w:pPr>
        <w:pStyle w:val="PargrafodaLista"/>
        <w:numPr>
          <w:ilvl w:val="0"/>
          <w:numId w:val="15"/>
        </w:numPr>
        <w:spacing w:after="0" w:line="360" w:lineRule="auto"/>
        <w:jc w:val="both"/>
        <w:rPr>
          <w:rFonts w:ascii="Arial" w:hAnsi="Arial" w:cs="Arial"/>
          <w:sz w:val="24"/>
          <w:szCs w:val="24"/>
        </w:rPr>
      </w:pPr>
      <w:r w:rsidRPr="00F05A7A">
        <w:rPr>
          <w:rFonts w:ascii="Arial" w:hAnsi="Arial" w:cs="Arial"/>
          <w:sz w:val="24"/>
          <w:szCs w:val="24"/>
        </w:rPr>
        <w:t xml:space="preserve">APRESENTAÇÃO E </w:t>
      </w:r>
      <w:r w:rsidR="00F61261" w:rsidRPr="00F05A7A">
        <w:rPr>
          <w:rFonts w:ascii="Arial" w:hAnsi="Arial" w:cs="Arial"/>
          <w:sz w:val="24"/>
          <w:szCs w:val="24"/>
        </w:rPr>
        <w:t>ANÁLISE DOS RESULTADOS</w:t>
      </w:r>
    </w:p>
    <w:p w14:paraId="756A045F" w14:textId="77777777" w:rsidR="00F61261" w:rsidRPr="00F05A7A" w:rsidRDefault="00F61261" w:rsidP="00F05A7A">
      <w:pPr>
        <w:pStyle w:val="PargrafodaLista"/>
        <w:spacing w:after="0" w:line="360" w:lineRule="auto"/>
        <w:ind w:left="360"/>
        <w:jc w:val="both"/>
        <w:rPr>
          <w:rFonts w:ascii="Arial" w:hAnsi="Arial" w:cs="Arial"/>
          <w:sz w:val="24"/>
          <w:szCs w:val="24"/>
        </w:rPr>
      </w:pPr>
    </w:p>
    <w:p w14:paraId="03DAEE65" w14:textId="4E170F2E" w:rsidR="00EF4E0C" w:rsidRPr="00F05A7A" w:rsidRDefault="00EF4E0C" w:rsidP="00F05A7A">
      <w:pPr>
        <w:pStyle w:val="PargrafodaLista"/>
        <w:numPr>
          <w:ilvl w:val="1"/>
          <w:numId w:val="16"/>
        </w:numPr>
        <w:spacing w:after="0" w:line="360" w:lineRule="auto"/>
        <w:jc w:val="both"/>
        <w:rPr>
          <w:rFonts w:ascii="Arial" w:hAnsi="Arial" w:cs="Arial"/>
          <w:sz w:val="24"/>
          <w:szCs w:val="24"/>
        </w:rPr>
      </w:pPr>
      <w:r w:rsidRPr="00F05A7A">
        <w:rPr>
          <w:rFonts w:ascii="Arial" w:hAnsi="Arial" w:cs="Arial"/>
          <w:sz w:val="24"/>
          <w:szCs w:val="24"/>
        </w:rPr>
        <w:t>Empresa Pesquisada</w:t>
      </w:r>
    </w:p>
    <w:p w14:paraId="4F8181A7" w14:textId="77777777" w:rsidR="00D53341" w:rsidRPr="00F05A7A" w:rsidRDefault="00D53341" w:rsidP="00F05A7A">
      <w:pPr>
        <w:spacing w:after="0" w:line="360" w:lineRule="auto"/>
        <w:ind w:firstLine="567"/>
        <w:contextualSpacing/>
        <w:jc w:val="both"/>
        <w:rPr>
          <w:rFonts w:ascii="Arial" w:hAnsi="Arial" w:cs="Arial"/>
          <w:sz w:val="24"/>
          <w:szCs w:val="24"/>
        </w:rPr>
      </w:pPr>
    </w:p>
    <w:p w14:paraId="52BC8634" w14:textId="0B72E8A7" w:rsidR="00EF4E0C" w:rsidRPr="00F05A7A" w:rsidRDefault="00EF4E0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A BRF S.A. é uma das mais conhecidas, se não a mais conhecida, empresa no ramo de produção de carnes e seus derivados no Brasil.</w:t>
      </w:r>
      <w:r w:rsidR="00B5215D" w:rsidRPr="00F05A7A">
        <w:rPr>
          <w:rFonts w:ascii="Arial" w:hAnsi="Arial" w:cs="Arial"/>
          <w:sz w:val="24"/>
          <w:szCs w:val="24"/>
        </w:rPr>
        <w:t xml:space="preserve"> </w:t>
      </w:r>
      <w:r w:rsidRPr="00F05A7A">
        <w:rPr>
          <w:rFonts w:ascii="Arial" w:hAnsi="Arial" w:cs="Arial"/>
          <w:sz w:val="24"/>
          <w:szCs w:val="24"/>
        </w:rPr>
        <w:t>Inserida no mercado brasileiro desde o ano de 2009, ela é resultado da fusão das então maiores empresas no ramo de produção de frango no Brasil, Sadia e Perdigão</w:t>
      </w:r>
      <w:r w:rsidR="00C43F08" w:rsidRPr="00F05A7A">
        <w:rPr>
          <w:rFonts w:ascii="Arial" w:hAnsi="Arial" w:cs="Arial"/>
          <w:sz w:val="24"/>
          <w:szCs w:val="24"/>
        </w:rPr>
        <w:t xml:space="preserve"> (BRF, 2017).</w:t>
      </w:r>
    </w:p>
    <w:p w14:paraId="76E63DF4" w14:textId="7EA6374C" w:rsidR="00AA6E2E" w:rsidRPr="00F05A7A" w:rsidRDefault="00AA6E2E"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Seu faturamento no ano </w:t>
      </w:r>
      <w:r w:rsidR="00B25CF3" w:rsidRPr="00F05A7A">
        <w:rPr>
          <w:rFonts w:ascii="Arial" w:hAnsi="Arial" w:cs="Arial"/>
          <w:sz w:val="24"/>
          <w:szCs w:val="24"/>
        </w:rPr>
        <w:t>de 2016 foi de R$ 33.732.866 bilhões de reais,</w:t>
      </w:r>
      <w:r w:rsidRPr="00F05A7A">
        <w:rPr>
          <w:rFonts w:ascii="Arial" w:hAnsi="Arial" w:cs="Arial"/>
          <w:sz w:val="24"/>
          <w:szCs w:val="24"/>
        </w:rPr>
        <w:t xml:space="preserve"> superando os anos anteriores de 2015 e 2014, com faturamento de R$ 32.196.601 e R$ 29.006.843 </w:t>
      </w:r>
      <w:r w:rsidR="00B25CF3" w:rsidRPr="00F05A7A">
        <w:rPr>
          <w:rFonts w:ascii="Arial" w:hAnsi="Arial" w:cs="Arial"/>
          <w:sz w:val="24"/>
          <w:szCs w:val="24"/>
        </w:rPr>
        <w:t xml:space="preserve">bilhões </w:t>
      </w:r>
      <w:r w:rsidRPr="00F05A7A">
        <w:rPr>
          <w:rFonts w:ascii="Arial" w:hAnsi="Arial" w:cs="Arial"/>
          <w:sz w:val="24"/>
          <w:szCs w:val="24"/>
        </w:rPr>
        <w:t xml:space="preserve">respectivamente </w:t>
      </w:r>
      <w:r w:rsidR="00C43F08" w:rsidRPr="00F05A7A">
        <w:rPr>
          <w:rFonts w:ascii="Arial" w:hAnsi="Arial" w:cs="Arial"/>
          <w:sz w:val="24"/>
          <w:szCs w:val="24"/>
        </w:rPr>
        <w:t>(B3, 2017).</w:t>
      </w:r>
    </w:p>
    <w:p w14:paraId="68604382" w14:textId="76BF4634" w:rsidR="00AA6E2E" w:rsidRPr="00F05A7A" w:rsidRDefault="00C43F0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De acordo com o site oficial (2017), a </w:t>
      </w:r>
      <w:r w:rsidR="00AA6E2E" w:rsidRPr="00F05A7A">
        <w:rPr>
          <w:rFonts w:ascii="Arial" w:hAnsi="Arial" w:cs="Arial"/>
          <w:sz w:val="24"/>
          <w:szCs w:val="24"/>
        </w:rPr>
        <w:t xml:space="preserve">companhia </w:t>
      </w:r>
      <w:r w:rsidR="007F58E5" w:rsidRPr="00F05A7A">
        <w:rPr>
          <w:rFonts w:ascii="Arial" w:hAnsi="Arial" w:cs="Arial"/>
          <w:sz w:val="24"/>
          <w:szCs w:val="24"/>
        </w:rPr>
        <w:t xml:space="preserve">conta com </w:t>
      </w:r>
      <w:r w:rsidR="00704ADB" w:rsidRPr="00F05A7A">
        <w:rPr>
          <w:rFonts w:ascii="Arial" w:hAnsi="Arial" w:cs="Arial"/>
          <w:sz w:val="24"/>
          <w:szCs w:val="24"/>
        </w:rPr>
        <w:t xml:space="preserve">cinco centros de inovação, cinquenta e três unidades produtivas, quarenta e nove centros de distribuições, vinte e dois escritórios comerciais e mais de 104.605 mil colaboradores ao redor do mundo, com maior concentração de unidades e colaboradores no Brasil. </w:t>
      </w:r>
    </w:p>
    <w:p w14:paraId="2575586D" w14:textId="554BA20B" w:rsidR="0066031D" w:rsidRPr="00F05A7A" w:rsidRDefault="00F3666F"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Mesmo tendo sido criada em 2009, a história da </w:t>
      </w:r>
      <w:r w:rsidR="002B6B94" w:rsidRPr="00F05A7A">
        <w:rPr>
          <w:rFonts w:ascii="Arial" w:hAnsi="Arial" w:cs="Arial"/>
          <w:sz w:val="24"/>
          <w:szCs w:val="24"/>
        </w:rPr>
        <w:t xml:space="preserve">BRF S.A. se inicia muito antes, </w:t>
      </w:r>
      <w:r w:rsidRPr="00F05A7A">
        <w:rPr>
          <w:rFonts w:ascii="Arial" w:hAnsi="Arial" w:cs="Arial"/>
          <w:sz w:val="24"/>
          <w:szCs w:val="24"/>
        </w:rPr>
        <w:t xml:space="preserve">em 1934 com a criação da empresa Perdigão, em Videira (SC), em 1944 </w:t>
      </w:r>
      <w:r w:rsidR="00DE15F7" w:rsidRPr="00F05A7A">
        <w:rPr>
          <w:rFonts w:ascii="Arial" w:hAnsi="Arial" w:cs="Arial"/>
          <w:sz w:val="24"/>
          <w:szCs w:val="24"/>
        </w:rPr>
        <w:t>foi</w:t>
      </w:r>
      <w:r w:rsidRPr="00F05A7A">
        <w:rPr>
          <w:rFonts w:ascii="Arial" w:hAnsi="Arial" w:cs="Arial"/>
          <w:sz w:val="24"/>
          <w:szCs w:val="24"/>
        </w:rPr>
        <w:t xml:space="preserve"> fundada a Sadia em Concórdia (SC), na época, concorrente da Perdigão. Ambas permaneceram nesta posição de concorrência por anos, expandindo seus mercados não só no Brasil, mas no mundo. Em 2001 houve o primeiro contato entre as empresas, porém somente em 2009 é que começaram o processo de unificação das marcas, dando origem a BRF S.A.</w:t>
      </w:r>
      <w:r w:rsidR="00C43F08" w:rsidRPr="00F05A7A">
        <w:rPr>
          <w:rFonts w:ascii="Arial" w:hAnsi="Arial" w:cs="Arial"/>
          <w:sz w:val="24"/>
          <w:szCs w:val="24"/>
        </w:rPr>
        <w:t xml:space="preserve"> (BRF, 2017).</w:t>
      </w:r>
      <w:r w:rsidRPr="00F05A7A">
        <w:rPr>
          <w:rFonts w:ascii="Arial" w:hAnsi="Arial" w:cs="Arial"/>
          <w:sz w:val="24"/>
          <w:szCs w:val="24"/>
        </w:rPr>
        <w:t xml:space="preserve"> </w:t>
      </w:r>
      <w:r w:rsidR="00EF4E0C" w:rsidRPr="00F05A7A">
        <w:rPr>
          <w:rFonts w:ascii="Arial" w:hAnsi="Arial" w:cs="Arial"/>
          <w:sz w:val="24"/>
          <w:szCs w:val="24"/>
        </w:rPr>
        <w:t>A fusão só foi aprovada pelo Conselho Administrativo de Defesa Econômica (Cade)</w:t>
      </w:r>
      <w:r w:rsidR="00032193" w:rsidRPr="00F05A7A">
        <w:rPr>
          <w:rFonts w:ascii="Arial" w:hAnsi="Arial" w:cs="Arial"/>
          <w:sz w:val="24"/>
          <w:szCs w:val="24"/>
        </w:rPr>
        <w:t xml:space="preserve"> em 2011,</w:t>
      </w:r>
      <w:r w:rsidR="00EF4E0C" w:rsidRPr="00F05A7A">
        <w:rPr>
          <w:rFonts w:ascii="Arial" w:hAnsi="Arial" w:cs="Arial"/>
          <w:sz w:val="24"/>
          <w:szCs w:val="24"/>
        </w:rPr>
        <w:t xml:space="preserve"> após algumas medidas serem acordadas entre o órgão e as empresas envolvidas no processo, como por exemplo, a venda de algumas fábricas, abatedouros e marcas, e suspensão temporária de produtos, para evitar o monopólio de mercado. Segundo Olavo Zago Chinaglia, conselheiro do Cade na data da aprovação da fusão, esta operação foi a maior da história do Brasil, superando outras conhecidas como por exemplo, Ambev, fruto da união da Antarctica e Brahma</w:t>
      </w:r>
      <w:r w:rsidR="00C43F08" w:rsidRPr="00F05A7A">
        <w:rPr>
          <w:rFonts w:ascii="Arial" w:hAnsi="Arial" w:cs="Arial"/>
          <w:sz w:val="24"/>
          <w:szCs w:val="24"/>
        </w:rPr>
        <w:t>, (ISTOÉ, 2011).</w:t>
      </w:r>
    </w:p>
    <w:p w14:paraId="21CE233E" w14:textId="451BC355" w:rsidR="00EF4E0C" w:rsidRPr="00F05A7A" w:rsidRDefault="00EF4E0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lastRenderedPageBreak/>
        <w:t>A BRF está presente nos cinco continentes, e somando em todos os países onde está presente, possui mais de 30 marcas em seu catálogo.</w:t>
      </w:r>
      <w:r w:rsidR="00C43F08" w:rsidRPr="00F05A7A">
        <w:rPr>
          <w:rFonts w:ascii="Arial" w:hAnsi="Arial" w:cs="Arial"/>
          <w:sz w:val="24"/>
          <w:szCs w:val="24"/>
        </w:rPr>
        <w:t xml:space="preserve"> (BRF, 2017).</w:t>
      </w:r>
    </w:p>
    <w:p w14:paraId="7C2ACC99" w14:textId="77777777" w:rsidR="00EF4E0C" w:rsidRPr="00F05A7A" w:rsidRDefault="00EF4E0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Por ser uma empresa de capital aberto, isto é, suas ações estão disponíveis na bolsa de valores para negociação, suas demonstrações estão disponíveis no endereço eletrônico da </w:t>
      </w:r>
      <w:r w:rsidR="00DA08A8" w:rsidRPr="00F05A7A">
        <w:rPr>
          <w:rFonts w:ascii="Arial" w:hAnsi="Arial" w:cs="Arial"/>
          <w:sz w:val="24"/>
          <w:szCs w:val="24"/>
        </w:rPr>
        <w:t>B3.</w:t>
      </w:r>
      <w:r w:rsidRPr="00F05A7A">
        <w:rPr>
          <w:rFonts w:ascii="Arial" w:hAnsi="Arial" w:cs="Arial"/>
          <w:sz w:val="24"/>
          <w:szCs w:val="24"/>
        </w:rPr>
        <w:t xml:space="preserve"> </w:t>
      </w:r>
    </w:p>
    <w:p w14:paraId="65C922ED" w14:textId="6EA12E2C" w:rsidR="00F61261" w:rsidRPr="00F05A7A" w:rsidRDefault="00D620C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 </w:t>
      </w:r>
    </w:p>
    <w:p w14:paraId="16A1F583" w14:textId="3F267437" w:rsidR="00EF4E0C" w:rsidRPr="00F05A7A" w:rsidRDefault="00B25CF3" w:rsidP="00F05A7A">
      <w:pPr>
        <w:pStyle w:val="PargrafodaLista"/>
        <w:numPr>
          <w:ilvl w:val="1"/>
          <w:numId w:val="16"/>
        </w:numPr>
        <w:spacing w:after="0" w:line="360" w:lineRule="auto"/>
        <w:ind w:left="567" w:hanging="567"/>
        <w:jc w:val="both"/>
        <w:rPr>
          <w:rFonts w:ascii="Arial" w:hAnsi="Arial" w:cs="Arial"/>
          <w:sz w:val="24"/>
          <w:szCs w:val="24"/>
        </w:rPr>
      </w:pPr>
      <w:r w:rsidRPr="00F05A7A">
        <w:rPr>
          <w:rFonts w:ascii="Arial" w:hAnsi="Arial" w:cs="Arial"/>
          <w:sz w:val="24"/>
          <w:szCs w:val="24"/>
        </w:rPr>
        <w:t>Atendimento</w:t>
      </w:r>
      <w:r w:rsidR="000E75D3" w:rsidRPr="00F05A7A">
        <w:rPr>
          <w:rFonts w:ascii="Arial" w:hAnsi="Arial" w:cs="Arial"/>
          <w:sz w:val="24"/>
          <w:szCs w:val="24"/>
        </w:rPr>
        <w:t xml:space="preserve"> das Normais Internacionais na</w:t>
      </w:r>
      <w:r w:rsidR="00B42A11" w:rsidRPr="00F05A7A">
        <w:rPr>
          <w:rFonts w:ascii="Arial" w:hAnsi="Arial" w:cs="Arial"/>
          <w:sz w:val="24"/>
          <w:szCs w:val="24"/>
        </w:rPr>
        <w:t>s Demonstrações Contábeis</w:t>
      </w:r>
      <w:r w:rsidRPr="00F05A7A">
        <w:rPr>
          <w:rFonts w:ascii="Arial" w:hAnsi="Arial" w:cs="Arial"/>
          <w:sz w:val="24"/>
          <w:szCs w:val="24"/>
        </w:rPr>
        <w:t xml:space="preserve"> na Empresa Pesquisada</w:t>
      </w:r>
    </w:p>
    <w:p w14:paraId="3657C620" w14:textId="77777777" w:rsidR="00D53341" w:rsidRPr="00F05A7A" w:rsidRDefault="00D53341" w:rsidP="00F05A7A">
      <w:pPr>
        <w:spacing w:after="0" w:line="360" w:lineRule="auto"/>
        <w:ind w:firstLine="567"/>
        <w:contextualSpacing/>
        <w:jc w:val="both"/>
        <w:rPr>
          <w:rFonts w:ascii="Arial" w:hAnsi="Arial" w:cs="Arial"/>
          <w:sz w:val="24"/>
          <w:szCs w:val="24"/>
        </w:rPr>
      </w:pPr>
    </w:p>
    <w:p w14:paraId="4CF229BC" w14:textId="73BBEE4D" w:rsidR="00EF4E0C" w:rsidRPr="00F05A7A" w:rsidRDefault="00B42A11"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Quando se</w:t>
      </w:r>
      <w:r w:rsidR="00AD7297" w:rsidRPr="00F05A7A">
        <w:rPr>
          <w:rFonts w:ascii="Arial" w:hAnsi="Arial" w:cs="Arial"/>
          <w:sz w:val="24"/>
          <w:szCs w:val="24"/>
        </w:rPr>
        <w:t xml:space="preserve"> é utilizada informação pública normalmente estas veem</w:t>
      </w:r>
      <w:r w:rsidR="00454956" w:rsidRPr="00F05A7A">
        <w:rPr>
          <w:rFonts w:ascii="Arial" w:hAnsi="Arial" w:cs="Arial"/>
          <w:sz w:val="24"/>
          <w:szCs w:val="24"/>
        </w:rPr>
        <w:t xml:space="preserve"> </w:t>
      </w:r>
      <w:r w:rsidR="00AD7297" w:rsidRPr="00F05A7A">
        <w:rPr>
          <w:rFonts w:ascii="Arial" w:hAnsi="Arial" w:cs="Arial"/>
          <w:sz w:val="24"/>
          <w:szCs w:val="24"/>
        </w:rPr>
        <w:t>sem detalhamentos, neste caso, a</w:t>
      </w:r>
      <w:r w:rsidRPr="00F05A7A">
        <w:rPr>
          <w:rFonts w:ascii="Arial" w:hAnsi="Arial" w:cs="Arial"/>
          <w:sz w:val="24"/>
          <w:szCs w:val="24"/>
        </w:rPr>
        <w:t>s demonstrações contábeis publicadas pela companhia, em endereços eletrônicos como o da B3</w:t>
      </w:r>
      <w:r w:rsidR="00AD7297" w:rsidRPr="00F05A7A">
        <w:rPr>
          <w:rFonts w:ascii="Arial" w:hAnsi="Arial" w:cs="Arial"/>
          <w:sz w:val="24"/>
          <w:szCs w:val="24"/>
        </w:rPr>
        <w:t>,</w:t>
      </w:r>
      <w:r w:rsidR="005E687C" w:rsidRPr="00F05A7A">
        <w:rPr>
          <w:rFonts w:ascii="Arial" w:hAnsi="Arial" w:cs="Arial"/>
          <w:sz w:val="24"/>
          <w:szCs w:val="24"/>
        </w:rPr>
        <w:t xml:space="preserve"> </w:t>
      </w:r>
      <w:r w:rsidRPr="00F05A7A">
        <w:rPr>
          <w:rFonts w:ascii="Arial" w:hAnsi="Arial" w:cs="Arial"/>
          <w:sz w:val="24"/>
          <w:szCs w:val="24"/>
        </w:rPr>
        <w:t>s</w:t>
      </w:r>
      <w:r w:rsidR="005E687C" w:rsidRPr="00F05A7A">
        <w:rPr>
          <w:rFonts w:ascii="Arial" w:hAnsi="Arial" w:cs="Arial"/>
          <w:sz w:val="24"/>
          <w:szCs w:val="24"/>
        </w:rPr>
        <w:t xml:space="preserve">ão </w:t>
      </w:r>
      <w:r w:rsidR="004307E1" w:rsidRPr="00F05A7A">
        <w:rPr>
          <w:rFonts w:ascii="Arial" w:hAnsi="Arial" w:cs="Arial"/>
          <w:sz w:val="24"/>
          <w:szCs w:val="24"/>
        </w:rPr>
        <w:t>trazidas em uma visão por grupos, ou seja, não é</w:t>
      </w:r>
      <w:r w:rsidR="00DE15F7" w:rsidRPr="00F05A7A">
        <w:rPr>
          <w:rFonts w:ascii="Arial" w:hAnsi="Arial" w:cs="Arial"/>
          <w:sz w:val="24"/>
          <w:szCs w:val="24"/>
        </w:rPr>
        <w:t xml:space="preserve"> possível encontrar demonstrativos com a abertura de</w:t>
      </w:r>
      <w:r w:rsidR="004307E1" w:rsidRPr="00F05A7A">
        <w:rPr>
          <w:rFonts w:ascii="Arial" w:hAnsi="Arial" w:cs="Arial"/>
          <w:sz w:val="24"/>
          <w:szCs w:val="24"/>
        </w:rPr>
        <w:t xml:space="preserve"> conta </w:t>
      </w:r>
      <w:r w:rsidR="00DE15F7" w:rsidRPr="00F05A7A">
        <w:rPr>
          <w:rFonts w:ascii="Arial" w:hAnsi="Arial" w:cs="Arial"/>
          <w:sz w:val="24"/>
          <w:szCs w:val="24"/>
        </w:rPr>
        <w:t>por</w:t>
      </w:r>
      <w:r w:rsidR="004307E1" w:rsidRPr="00F05A7A">
        <w:rPr>
          <w:rFonts w:ascii="Arial" w:hAnsi="Arial" w:cs="Arial"/>
          <w:sz w:val="24"/>
          <w:szCs w:val="24"/>
        </w:rPr>
        <w:t xml:space="preserve"> conta, e sim, grupos de contas, impossibilitando assim uma análise mais detalhada dos valores </w:t>
      </w:r>
      <w:r w:rsidR="00DE15F7" w:rsidRPr="00F05A7A">
        <w:rPr>
          <w:rFonts w:ascii="Arial" w:hAnsi="Arial" w:cs="Arial"/>
          <w:sz w:val="24"/>
          <w:szCs w:val="24"/>
        </w:rPr>
        <w:t>apurados</w:t>
      </w:r>
      <w:r w:rsidR="004307E1" w:rsidRPr="00F05A7A">
        <w:rPr>
          <w:rFonts w:ascii="Arial" w:hAnsi="Arial" w:cs="Arial"/>
          <w:sz w:val="24"/>
          <w:szCs w:val="24"/>
        </w:rPr>
        <w:t xml:space="preserve"> pela empresa em decorrência as obrigações trazidas pela legislação. </w:t>
      </w:r>
    </w:p>
    <w:p w14:paraId="200A5DD6" w14:textId="705DB919" w:rsidR="004307E1" w:rsidRPr="00F05A7A" w:rsidRDefault="004307E1"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Dessa forma, a leitura e interpretação das notas explicativas e do relatório da administração </w:t>
      </w:r>
      <w:r w:rsidR="00DE15F7" w:rsidRPr="00F05A7A">
        <w:rPr>
          <w:rFonts w:ascii="Arial" w:hAnsi="Arial" w:cs="Arial"/>
          <w:sz w:val="24"/>
          <w:szCs w:val="24"/>
        </w:rPr>
        <w:t>são fundamentais</w:t>
      </w:r>
      <w:r w:rsidR="00D620CC" w:rsidRPr="00F05A7A">
        <w:rPr>
          <w:rFonts w:ascii="Arial" w:hAnsi="Arial" w:cs="Arial"/>
          <w:sz w:val="24"/>
          <w:szCs w:val="24"/>
        </w:rPr>
        <w:t xml:space="preserve"> </w:t>
      </w:r>
      <w:r w:rsidRPr="00F05A7A">
        <w:rPr>
          <w:rFonts w:ascii="Arial" w:hAnsi="Arial" w:cs="Arial"/>
          <w:sz w:val="24"/>
          <w:szCs w:val="24"/>
        </w:rPr>
        <w:t xml:space="preserve">para a compreensão e visualização da aplicação das normais internacionais na apuração do resultado da empresa. </w:t>
      </w:r>
    </w:p>
    <w:p w14:paraId="5692EBD1" w14:textId="5EE16368" w:rsidR="00D620CC" w:rsidRPr="00F05A7A" w:rsidRDefault="00D620C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Tendo em vista que para compreensão dos demonstrativos, a nota explicativa é fundamental, o comitê de pronunciamentos contábeis abordou o tema no CPC 26:</w:t>
      </w:r>
    </w:p>
    <w:p w14:paraId="60588706" w14:textId="77777777" w:rsidR="00D53341" w:rsidRPr="00F05A7A" w:rsidRDefault="00D53341" w:rsidP="00F05A7A">
      <w:pPr>
        <w:spacing w:after="0" w:line="240" w:lineRule="auto"/>
        <w:ind w:left="2268" w:firstLine="709"/>
        <w:contextualSpacing/>
        <w:jc w:val="both"/>
        <w:rPr>
          <w:rFonts w:ascii="Arial" w:hAnsi="Arial" w:cs="Arial"/>
          <w:sz w:val="20"/>
          <w:szCs w:val="20"/>
        </w:rPr>
      </w:pPr>
    </w:p>
    <w:p w14:paraId="07AF86B1" w14:textId="0F6B8AF2" w:rsidR="00D620CC" w:rsidRPr="00F05A7A" w:rsidRDefault="00D620CC" w:rsidP="00F05A7A">
      <w:pPr>
        <w:spacing w:after="0" w:line="240" w:lineRule="auto"/>
        <w:ind w:left="2268"/>
        <w:contextualSpacing/>
        <w:jc w:val="both"/>
        <w:rPr>
          <w:rFonts w:ascii="Arial" w:hAnsi="Arial" w:cs="Arial"/>
        </w:rPr>
      </w:pPr>
      <w:r w:rsidRPr="00F05A7A">
        <w:rPr>
          <w:rFonts w:ascii="Arial" w:hAnsi="Arial" w:cs="Arial"/>
        </w:rPr>
        <w:t xml:space="preserve">A entidade cujas demonstrações contábeis estão em conformidade com os Pronunciamentos Técnicos, Interpretações e Orientações do CPC deve declarar de forma explícita e sem reservas essa conformidade nas notas explicativas. A entidade não deve afirmar que suas demonstrações contábeis estão de acordo com esses Pronunciamentos Técnicos, Interpretações e Orientações a menos que </w:t>
      </w:r>
      <w:r w:rsidR="00F957BA" w:rsidRPr="00F05A7A">
        <w:rPr>
          <w:rFonts w:ascii="Arial" w:hAnsi="Arial" w:cs="Arial"/>
        </w:rPr>
        <w:t>cumpra todos os seus requisitos</w:t>
      </w:r>
      <w:r w:rsidRPr="00F05A7A">
        <w:rPr>
          <w:rFonts w:ascii="Arial" w:hAnsi="Arial" w:cs="Arial"/>
        </w:rPr>
        <w:t xml:space="preserve"> (CPC 26, 2011, p. 7).</w:t>
      </w:r>
    </w:p>
    <w:p w14:paraId="5C65FE2A" w14:textId="77777777" w:rsidR="0083652F" w:rsidRPr="00F05A7A" w:rsidRDefault="0083652F" w:rsidP="00F05A7A">
      <w:pPr>
        <w:spacing w:after="0" w:line="240" w:lineRule="auto"/>
        <w:ind w:left="2268"/>
        <w:contextualSpacing/>
        <w:jc w:val="both"/>
        <w:rPr>
          <w:rFonts w:ascii="Arial" w:hAnsi="Arial" w:cs="Arial"/>
          <w:sz w:val="20"/>
          <w:szCs w:val="20"/>
        </w:rPr>
      </w:pPr>
    </w:p>
    <w:p w14:paraId="0137FD46" w14:textId="764D0AAE" w:rsidR="006C7FEE" w:rsidRPr="00F05A7A" w:rsidRDefault="0083652F"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Desta forma, o contador da empresa deve ter pleno conhecimento das normas e como a sua aplicação deve ocorrer na sua empresa, pois, cada entidade possui particularidades de acordo com a atividade exercida, bem como, o seu porte.</w:t>
      </w:r>
    </w:p>
    <w:p w14:paraId="049FBA4A" w14:textId="78E9141C" w:rsidR="0083652F" w:rsidRPr="00F05A7A" w:rsidRDefault="0083652F"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As normas internacionais são aplicadas a empresas de capital aberto, ou às de grande porte, no entanto, existe regulamentação especifica acerca da aplicação da </w:t>
      </w:r>
      <w:r w:rsidR="00530A58" w:rsidRPr="00F05A7A">
        <w:rPr>
          <w:rFonts w:ascii="Arial" w:hAnsi="Arial" w:cs="Arial"/>
          <w:sz w:val="24"/>
          <w:szCs w:val="24"/>
        </w:rPr>
        <w:t xml:space="preserve">convergência as normas internacionais para pequenas e médias empresas, sendo este o CPC PME advindo do pronunciamento do IASB intitulado </w:t>
      </w:r>
      <w:r w:rsidR="00530A58" w:rsidRPr="00F05A7A">
        <w:rPr>
          <w:rFonts w:ascii="Arial" w:hAnsi="Arial" w:cs="Arial"/>
          <w:i/>
          <w:sz w:val="24"/>
          <w:szCs w:val="24"/>
        </w:rPr>
        <w:t>IFRS for SMES</w:t>
      </w:r>
      <w:r w:rsidR="00530A58" w:rsidRPr="00F05A7A">
        <w:rPr>
          <w:rFonts w:ascii="Arial" w:hAnsi="Arial" w:cs="Arial"/>
          <w:sz w:val="24"/>
          <w:szCs w:val="24"/>
        </w:rPr>
        <w:t xml:space="preserve">, devendo assim, o contador estar ciente de </w:t>
      </w:r>
      <w:r w:rsidR="00A35234" w:rsidRPr="00F05A7A">
        <w:rPr>
          <w:rFonts w:ascii="Arial" w:hAnsi="Arial" w:cs="Arial"/>
          <w:sz w:val="24"/>
          <w:szCs w:val="24"/>
        </w:rPr>
        <w:t>que</w:t>
      </w:r>
      <w:r w:rsidR="00530A58" w:rsidRPr="00F05A7A">
        <w:rPr>
          <w:rFonts w:ascii="Arial" w:hAnsi="Arial" w:cs="Arial"/>
          <w:sz w:val="24"/>
          <w:szCs w:val="24"/>
        </w:rPr>
        <w:t xml:space="preserve"> procedimentos adotar na empresa.</w:t>
      </w:r>
    </w:p>
    <w:p w14:paraId="4F6F16CE" w14:textId="5967A18C" w:rsidR="000864FB" w:rsidRPr="00F05A7A" w:rsidRDefault="000864FB"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lastRenderedPageBreak/>
        <w:t>Ou seja, se o contador não ter o domínio de conhecimento sobre a entidade pela qual está atuando, a entidade corre riscos de ser penalizada por descumprir obrigações ou ainda, por prestar informações incorretas ao fisco, o que pode acarretar sérios problemas a companhia.</w:t>
      </w:r>
    </w:p>
    <w:p w14:paraId="350BDDEF" w14:textId="77777777" w:rsidR="00D53341" w:rsidRPr="00F05A7A" w:rsidRDefault="00D53341" w:rsidP="00F05A7A">
      <w:pPr>
        <w:spacing w:after="0" w:line="360" w:lineRule="auto"/>
        <w:ind w:firstLine="567"/>
        <w:contextualSpacing/>
        <w:jc w:val="both"/>
        <w:rPr>
          <w:rFonts w:ascii="Arial" w:hAnsi="Arial" w:cs="Arial"/>
          <w:sz w:val="24"/>
          <w:szCs w:val="24"/>
        </w:rPr>
      </w:pPr>
    </w:p>
    <w:p w14:paraId="5BFC1017" w14:textId="2E609450" w:rsidR="00EF4E0C" w:rsidRPr="00F05A7A" w:rsidRDefault="00B25CF3" w:rsidP="00F05A7A">
      <w:pPr>
        <w:pStyle w:val="PargrafodaLista"/>
        <w:numPr>
          <w:ilvl w:val="2"/>
          <w:numId w:val="16"/>
        </w:numPr>
        <w:spacing w:after="0" w:line="360" w:lineRule="auto"/>
        <w:ind w:left="567" w:hanging="567"/>
        <w:jc w:val="both"/>
        <w:rPr>
          <w:rFonts w:ascii="Arial" w:hAnsi="Arial" w:cs="Arial"/>
          <w:sz w:val="24"/>
          <w:szCs w:val="24"/>
        </w:rPr>
      </w:pPr>
      <w:r w:rsidRPr="00F05A7A">
        <w:rPr>
          <w:rFonts w:ascii="Arial" w:hAnsi="Arial" w:cs="Arial"/>
          <w:sz w:val="24"/>
          <w:szCs w:val="24"/>
        </w:rPr>
        <w:t>Distribuição dos</w:t>
      </w:r>
      <w:r w:rsidR="007C21EB" w:rsidRPr="00F05A7A">
        <w:rPr>
          <w:rFonts w:ascii="Arial" w:hAnsi="Arial" w:cs="Arial"/>
          <w:sz w:val="24"/>
          <w:szCs w:val="24"/>
        </w:rPr>
        <w:t xml:space="preserve"> r</w:t>
      </w:r>
      <w:r w:rsidRPr="00F05A7A">
        <w:rPr>
          <w:rFonts w:ascii="Arial" w:hAnsi="Arial" w:cs="Arial"/>
          <w:sz w:val="24"/>
          <w:szCs w:val="24"/>
        </w:rPr>
        <w:t>esultados</w:t>
      </w:r>
    </w:p>
    <w:p w14:paraId="234DE7D4" w14:textId="77777777" w:rsidR="00D53341" w:rsidRPr="00F05A7A" w:rsidRDefault="00D53341" w:rsidP="00F05A7A">
      <w:pPr>
        <w:spacing w:after="0" w:line="360" w:lineRule="auto"/>
        <w:ind w:firstLine="709"/>
        <w:contextualSpacing/>
        <w:jc w:val="both"/>
        <w:rPr>
          <w:rFonts w:ascii="Arial" w:hAnsi="Arial" w:cs="Arial"/>
          <w:sz w:val="24"/>
          <w:szCs w:val="24"/>
        </w:rPr>
      </w:pPr>
    </w:p>
    <w:p w14:paraId="1BF507D2" w14:textId="287A5F89" w:rsidR="00EF4E0C" w:rsidRPr="00F05A7A" w:rsidRDefault="00EF4E0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A empresa BRF S.A. obteve ao final do ano de 2016 um resultado consolidado negativo, ou seja, um prejuízo de </w:t>
      </w:r>
      <w:r w:rsidRPr="00F05A7A">
        <w:rPr>
          <w:rFonts w:ascii="Cambria Math" w:hAnsi="Cambria Math" w:cs="Cambria Math"/>
          <w:sz w:val="24"/>
          <w:szCs w:val="24"/>
        </w:rPr>
        <w:t>‐</w:t>
      </w:r>
      <w:r w:rsidR="00256F82" w:rsidRPr="00F05A7A">
        <w:rPr>
          <w:rFonts w:ascii="Arial" w:hAnsi="Arial" w:cs="Arial"/>
          <w:sz w:val="24"/>
          <w:szCs w:val="24"/>
        </w:rPr>
        <w:t>R$ 367.339</w:t>
      </w:r>
      <w:r w:rsidR="0077218B" w:rsidRPr="00F05A7A">
        <w:rPr>
          <w:rFonts w:ascii="Arial" w:hAnsi="Arial" w:cs="Arial"/>
          <w:sz w:val="24"/>
          <w:szCs w:val="24"/>
        </w:rPr>
        <w:t xml:space="preserve"> milhões</w:t>
      </w:r>
      <w:r w:rsidRPr="00F05A7A">
        <w:rPr>
          <w:rFonts w:ascii="Arial" w:hAnsi="Arial" w:cs="Arial"/>
          <w:sz w:val="24"/>
          <w:szCs w:val="24"/>
        </w:rPr>
        <w:t>, de acordo com o DRE ap</w:t>
      </w:r>
      <w:r w:rsidR="001060AA" w:rsidRPr="00F05A7A">
        <w:rPr>
          <w:rFonts w:ascii="Arial" w:hAnsi="Arial" w:cs="Arial"/>
          <w:sz w:val="24"/>
          <w:szCs w:val="24"/>
        </w:rPr>
        <w:t>resentado pela empresa</w:t>
      </w:r>
      <w:r w:rsidR="0077218B" w:rsidRPr="00F05A7A">
        <w:rPr>
          <w:rFonts w:ascii="Arial" w:hAnsi="Arial" w:cs="Arial"/>
          <w:sz w:val="24"/>
          <w:szCs w:val="24"/>
        </w:rPr>
        <w:t xml:space="preserve"> no site da B3.</w:t>
      </w:r>
    </w:p>
    <w:p w14:paraId="1C5BC0E9" w14:textId="6C93668C" w:rsidR="0077218B" w:rsidRPr="00F05A7A" w:rsidRDefault="00530A58" w:rsidP="00F05A7A">
      <w:pPr>
        <w:spacing w:after="0" w:line="360" w:lineRule="auto"/>
        <w:ind w:firstLine="709"/>
        <w:contextualSpacing/>
        <w:jc w:val="both"/>
        <w:rPr>
          <w:rFonts w:ascii="Arial" w:hAnsi="Arial" w:cs="Arial"/>
          <w:sz w:val="24"/>
          <w:szCs w:val="24"/>
        </w:rPr>
      </w:pPr>
      <w:bookmarkStart w:id="0" w:name="_Hlk483680138"/>
      <w:bookmarkEnd w:id="0"/>
      <w:r w:rsidRPr="00F05A7A">
        <w:rPr>
          <w:rFonts w:ascii="Arial" w:hAnsi="Arial" w:cs="Arial"/>
          <w:sz w:val="24"/>
          <w:szCs w:val="24"/>
        </w:rPr>
        <w:t>Tendo em vista este resultado, o primeiro ponto conclusivo que se pode obter é que não h</w:t>
      </w:r>
      <w:r w:rsidR="00992C9B" w:rsidRPr="00F05A7A">
        <w:rPr>
          <w:rFonts w:ascii="Arial" w:hAnsi="Arial" w:cs="Arial"/>
          <w:sz w:val="24"/>
          <w:szCs w:val="24"/>
        </w:rPr>
        <w:t>ouve distribuição de dividendos, bem como não houve destinação para a reserva de lucros. T</w:t>
      </w:r>
      <w:r w:rsidRPr="00F05A7A">
        <w:rPr>
          <w:rFonts w:ascii="Arial" w:hAnsi="Arial" w:cs="Arial"/>
          <w:sz w:val="24"/>
          <w:szCs w:val="24"/>
        </w:rPr>
        <w:t xml:space="preserve">al observação é confirmada pelo item </w:t>
      </w:r>
      <w:r w:rsidR="00992C9B" w:rsidRPr="00F05A7A">
        <w:rPr>
          <w:rFonts w:ascii="Arial" w:hAnsi="Arial" w:cs="Arial"/>
          <w:sz w:val="24"/>
          <w:szCs w:val="24"/>
        </w:rPr>
        <w:t>28.6 da nota explicativa da companhia que traz a abertura da distribuição dos lucros, ou no caso, absorção do prejuízo do exercício.</w:t>
      </w:r>
    </w:p>
    <w:p w14:paraId="6DD1F92D" w14:textId="77777777" w:rsidR="00951A18" w:rsidRPr="00F05A7A" w:rsidRDefault="00951A18" w:rsidP="00F05A7A">
      <w:pPr>
        <w:spacing w:after="0" w:line="360" w:lineRule="auto"/>
        <w:ind w:firstLine="709"/>
        <w:contextualSpacing/>
        <w:jc w:val="both"/>
        <w:rPr>
          <w:rFonts w:ascii="Arial" w:hAnsi="Arial" w:cs="Arial"/>
          <w:sz w:val="24"/>
          <w:szCs w:val="24"/>
        </w:rPr>
      </w:pPr>
    </w:p>
    <w:p w14:paraId="1A6519C5" w14:textId="77777777" w:rsidR="007C21EB" w:rsidRPr="00F05A7A" w:rsidRDefault="00992C9B" w:rsidP="00F05A7A">
      <w:pPr>
        <w:spacing w:after="0" w:line="240" w:lineRule="auto"/>
        <w:contextualSpacing/>
        <w:jc w:val="both"/>
        <w:rPr>
          <w:rFonts w:ascii="Arial" w:hAnsi="Arial" w:cs="Arial"/>
          <w:noProof/>
          <w:szCs w:val="20"/>
        </w:rPr>
      </w:pPr>
      <w:r w:rsidRPr="00F05A7A">
        <w:rPr>
          <w:rFonts w:ascii="Arial" w:hAnsi="Arial" w:cs="Arial"/>
          <w:noProof/>
          <w:sz w:val="20"/>
          <w:szCs w:val="20"/>
          <w:lang w:eastAsia="pt-BR"/>
        </w:rPr>
        <w:drawing>
          <wp:inline distT="0" distB="0" distL="0" distR="0" wp14:anchorId="1B0A9C41" wp14:editId="18A9B724">
            <wp:extent cx="5760085" cy="14147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6 p 108.JPG"/>
                    <pic:cNvPicPr/>
                  </pic:nvPicPr>
                  <pic:blipFill>
                    <a:blip r:embed="rId18">
                      <a:extLst>
                        <a:ext uri="{28A0092B-C50C-407E-A947-70E740481C1C}">
                          <a14:useLocalDpi xmlns:a14="http://schemas.microsoft.com/office/drawing/2010/main" val="0"/>
                        </a:ext>
                      </a:extLst>
                    </a:blip>
                    <a:stretch>
                      <a:fillRect/>
                    </a:stretch>
                  </pic:blipFill>
                  <pic:spPr>
                    <a:xfrm>
                      <a:off x="0" y="0"/>
                      <a:ext cx="5760085" cy="1414780"/>
                    </a:xfrm>
                    <a:prstGeom prst="rect">
                      <a:avLst/>
                    </a:prstGeom>
                  </pic:spPr>
                </pic:pic>
              </a:graphicData>
            </a:graphic>
          </wp:inline>
        </w:drawing>
      </w:r>
      <w:r w:rsidR="007C21EB" w:rsidRPr="00F05A7A">
        <w:rPr>
          <w:rFonts w:ascii="Arial" w:hAnsi="Arial" w:cs="Arial"/>
          <w:sz w:val="20"/>
          <w:szCs w:val="20"/>
        </w:rPr>
        <w:t xml:space="preserve"> </w:t>
      </w:r>
      <w:r w:rsidR="007C21EB" w:rsidRPr="00F05A7A">
        <w:rPr>
          <w:rFonts w:ascii="Arial" w:hAnsi="Arial" w:cs="Arial"/>
          <w:szCs w:val="20"/>
        </w:rPr>
        <w:t xml:space="preserve">Figura 1 – Distribuição do lucro/absorção de prejuízo </w:t>
      </w:r>
      <w:r w:rsidR="007C21EB" w:rsidRPr="00F05A7A">
        <w:rPr>
          <w:rFonts w:ascii="Arial" w:hAnsi="Arial" w:cs="Arial"/>
          <w:noProof/>
          <w:szCs w:val="20"/>
        </w:rPr>
        <w:t xml:space="preserve"> </w:t>
      </w:r>
    </w:p>
    <w:p w14:paraId="7349D463" w14:textId="77777777" w:rsidR="007C21EB" w:rsidRPr="00F05A7A" w:rsidRDefault="00EF4E0C" w:rsidP="00F05A7A">
      <w:pPr>
        <w:spacing w:after="0" w:line="240" w:lineRule="auto"/>
        <w:contextualSpacing/>
        <w:jc w:val="both"/>
        <w:rPr>
          <w:rFonts w:ascii="Arial" w:hAnsi="Arial" w:cs="Arial"/>
          <w:szCs w:val="20"/>
        </w:rPr>
      </w:pPr>
      <w:r w:rsidRPr="00F05A7A">
        <w:rPr>
          <w:rFonts w:ascii="Arial" w:hAnsi="Arial" w:cs="Arial"/>
          <w:szCs w:val="20"/>
        </w:rPr>
        <w:t xml:space="preserve">Fonte: </w:t>
      </w:r>
      <w:r w:rsidR="00DA08A8" w:rsidRPr="00F05A7A">
        <w:rPr>
          <w:rFonts w:ascii="Arial" w:hAnsi="Arial" w:cs="Arial"/>
          <w:szCs w:val="20"/>
        </w:rPr>
        <w:t>B3</w:t>
      </w:r>
      <w:r w:rsidR="007C21EB" w:rsidRPr="00F05A7A">
        <w:rPr>
          <w:rFonts w:ascii="Arial" w:hAnsi="Arial" w:cs="Arial"/>
          <w:szCs w:val="20"/>
        </w:rPr>
        <w:t xml:space="preserve">, </w:t>
      </w:r>
      <w:r w:rsidRPr="00F05A7A">
        <w:rPr>
          <w:rFonts w:ascii="Arial" w:hAnsi="Arial" w:cs="Arial"/>
          <w:szCs w:val="20"/>
        </w:rPr>
        <w:t>2017</w:t>
      </w:r>
      <w:r w:rsidR="007C21EB" w:rsidRPr="00F05A7A">
        <w:rPr>
          <w:rFonts w:ascii="Arial" w:hAnsi="Arial" w:cs="Arial"/>
          <w:szCs w:val="20"/>
        </w:rPr>
        <w:t>.</w:t>
      </w:r>
    </w:p>
    <w:p w14:paraId="07046CF6" w14:textId="3E8444A2" w:rsidR="0066031D" w:rsidRPr="00F05A7A" w:rsidRDefault="00B056B1" w:rsidP="00F05A7A">
      <w:pPr>
        <w:spacing w:after="0" w:line="240" w:lineRule="auto"/>
        <w:contextualSpacing/>
        <w:jc w:val="both"/>
        <w:rPr>
          <w:rFonts w:ascii="Arial" w:hAnsi="Arial" w:cs="Arial"/>
          <w:szCs w:val="20"/>
        </w:rPr>
      </w:pPr>
      <w:r w:rsidRPr="00F05A7A">
        <w:rPr>
          <w:rFonts w:ascii="Arial" w:hAnsi="Arial" w:cs="Arial"/>
          <w:szCs w:val="20"/>
        </w:rPr>
        <w:tab/>
      </w:r>
      <w:r w:rsidRPr="00F05A7A">
        <w:rPr>
          <w:rFonts w:ascii="Arial" w:hAnsi="Arial" w:cs="Arial"/>
          <w:szCs w:val="20"/>
        </w:rPr>
        <w:tab/>
      </w:r>
      <w:r w:rsidRPr="00F05A7A">
        <w:rPr>
          <w:rFonts w:ascii="Arial" w:hAnsi="Arial" w:cs="Arial"/>
          <w:szCs w:val="20"/>
        </w:rPr>
        <w:tab/>
      </w:r>
      <w:r w:rsidRPr="00F05A7A">
        <w:rPr>
          <w:rFonts w:ascii="Arial" w:hAnsi="Arial" w:cs="Arial"/>
          <w:szCs w:val="20"/>
        </w:rPr>
        <w:tab/>
      </w:r>
      <w:r w:rsidRPr="00F05A7A">
        <w:rPr>
          <w:rFonts w:ascii="Arial" w:hAnsi="Arial" w:cs="Arial"/>
          <w:szCs w:val="20"/>
        </w:rPr>
        <w:tab/>
      </w:r>
      <w:r w:rsidRPr="00F05A7A">
        <w:rPr>
          <w:rFonts w:ascii="Arial" w:hAnsi="Arial" w:cs="Arial"/>
          <w:szCs w:val="20"/>
        </w:rPr>
        <w:tab/>
      </w:r>
      <w:r w:rsidRPr="00F05A7A">
        <w:rPr>
          <w:rFonts w:ascii="Arial" w:hAnsi="Arial" w:cs="Arial"/>
          <w:szCs w:val="20"/>
        </w:rPr>
        <w:tab/>
        <w:t xml:space="preserve">                </w:t>
      </w:r>
      <w:r w:rsidR="00DA08A8" w:rsidRPr="00F05A7A">
        <w:rPr>
          <w:rFonts w:ascii="Arial" w:hAnsi="Arial" w:cs="Arial"/>
          <w:szCs w:val="20"/>
        </w:rPr>
        <w:t xml:space="preserve">           </w:t>
      </w:r>
      <w:r w:rsidR="00DA08A8" w:rsidRPr="00F05A7A">
        <w:rPr>
          <w:rFonts w:ascii="Arial" w:hAnsi="Arial" w:cs="Arial"/>
          <w:szCs w:val="20"/>
        </w:rPr>
        <w:tab/>
        <w:t xml:space="preserve">     </w:t>
      </w:r>
    </w:p>
    <w:p w14:paraId="30563C91" w14:textId="7393EAD5" w:rsidR="0066031D" w:rsidRPr="00F05A7A" w:rsidRDefault="00D1623B"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É possível notar que, na data base de dezembro de 2016, o valor destinado a dividendos, bem como, o valor na linha de reserva de lucros é zero, havendo uma diminuição considerável se observado o ano anterior.</w:t>
      </w:r>
      <w:r w:rsidR="00EF4E0C" w:rsidRPr="00F05A7A">
        <w:rPr>
          <w:rFonts w:ascii="Arial" w:hAnsi="Arial" w:cs="Arial"/>
          <w:sz w:val="24"/>
          <w:szCs w:val="24"/>
        </w:rPr>
        <w:t xml:space="preserve"> </w:t>
      </w:r>
    </w:p>
    <w:p w14:paraId="550EBE2B" w14:textId="77777777" w:rsidR="00075B6D" w:rsidRPr="00F05A7A" w:rsidRDefault="00075B6D" w:rsidP="00F05A7A">
      <w:pPr>
        <w:spacing w:after="0" w:line="360" w:lineRule="auto"/>
        <w:ind w:firstLine="709"/>
        <w:contextualSpacing/>
        <w:jc w:val="both"/>
        <w:rPr>
          <w:rFonts w:ascii="Arial" w:hAnsi="Arial" w:cs="Arial"/>
          <w:sz w:val="24"/>
          <w:szCs w:val="24"/>
        </w:rPr>
      </w:pPr>
    </w:p>
    <w:p w14:paraId="42FF275D" w14:textId="29A8B2BD" w:rsidR="0012292E" w:rsidRPr="00F05A7A" w:rsidRDefault="007C21EB" w:rsidP="00F05A7A">
      <w:pPr>
        <w:spacing w:after="0" w:line="240" w:lineRule="auto"/>
        <w:contextualSpacing/>
        <w:jc w:val="both"/>
        <w:rPr>
          <w:rFonts w:ascii="Arial" w:hAnsi="Arial" w:cs="Arial"/>
          <w:noProof/>
          <w:sz w:val="24"/>
          <w:szCs w:val="24"/>
        </w:rPr>
      </w:pPr>
      <w:r w:rsidRPr="00F05A7A">
        <w:rPr>
          <w:rFonts w:ascii="Arial" w:hAnsi="Arial" w:cs="Arial"/>
          <w:sz w:val="24"/>
          <w:szCs w:val="24"/>
        </w:rPr>
        <w:t>GRÁFICO</w:t>
      </w:r>
      <w:r w:rsidR="008A6EB4" w:rsidRPr="00F05A7A">
        <w:rPr>
          <w:rFonts w:ascii="Arial" w:hAnsi="Arial" w:cs="Arial"/>
          <w:sz w:val="24"/>
          <w:szCs w:val="24"/>
        </w:rPr>
        <w:t xml:space="preserve"> 1</w:t>
      </w:r>
      <w:r w:rsidR="00EF4E0C" w:rsidRPr="00F05A7A">
        <w:rPr>
          <w:rFonts w:ascii="Arial" w:hAnsi="Arial" w:cs="Arial"/>
          <w:sz w:val="24"/>
          <w:szCs w:val="24"/>
        </w:rPr>
        <w:t xml:space="preserve"> – </w:t>
      </w:r>
      <w:r w:rsidR="008A6EB4" w:rsidRPr="00F05A7A">
        <w:rPr>
          <w:rFonts w:ascii="Arial" w:hAnsi="Arial" w:cs="Arial"/>
          <w:sz w:val="24"/>
          <w:szCs w:val="24"/>
        </w:rPr>
        <w:t>Comparativo 2016x2015 d</w:t>
      </w:r>
      <w:r w:rsidR="0012292E" w:rsidRPr="00F05A7A">
        <w:rPr>
          <w:rFonts w:ascii="Arial" w:hAnsi="Arial" w:cs="Arial"/>
          <w:sz w:val="24"/>
          <w:szCs w:val="24"/>
        </w:rPr>
        <w:t>o</w:t>
      </w:r>
      <w:r w:rsidR="008A6EB4" w:rsidRPr="00F05A7A">
        <w:rPr>
          <w:rFonts w:ascii="Arial" w:hAnsi="Arial" w:cs="Arial"/>
          <w:sz w:val="24"/>
          <w:szCs w:val="24"/>
        </w:rPr>
        <w:t xml:space="preserve"> Resultado do Exercício</w:t>
      </w:r>
      <w:r w:rsidR="0012292E" w:rsidRPr="00F05A7A">
        <w:rPr>
          <w:rFonts w:ascii="Arial" w:hAnsi="Arial" w:cs="Arial"/>
          <w:sz w:val="24"/>
          <w:szCs w:val="24"/>
        </w:rPr>
        <w:t>,</w:t>
      </w:r>
      <w:r w:rsidR="008A6EB4" w:rsidRPr="00F05A7A">
        <w:rPr>
          <w:rFonts w:ascii="Arial" w:hAnsi="Arial" w:cs="Arial"/>
          <w:sz w:val="24"/>
          <w:szCs w:val="24"/>
        </w:rPr>
        <w:t xml:space="preserve"> Distribuição para Dividendos e </w:t>
      </w:r>
      <w:r w:rsidR="0012292E" w:rsidRPr="00F05A7A">
        <w:rPr>
          <w:rFonts w:ascii="Arial" w:hAnsi="Arial" w:cs="Arial"/>
          <w:sz w:val="24"/>
          <w:szCs w:val="24"/>
        </w:rPr>
        <w:t>Destinação para Reserva de Lucros</w:t>
      </w:r>
      <w:r w:rsidR="008A6EB4" w:rsidRPr="00F05A7A">
        <w:rPr>
          <w:rFonts w:ascii="Arial" w:hAnsi="Arial" w:cs="Arial"/>
          <w:noProof/>
          <w:sz w:val="24"/>
          <w:szCs w:val="24"/>
        </w:rPr>
        <w:t xml:space="preserve"> </w:t>
      </w:r>
      <w:r w:rsidR="0012292E" w:rsidRPr="00F05A7A">
        <w:rPr>
          <w:rFonts w:ascii="Arial" w:hAnsi="Arial" w:cs="Arial"/>
          <w:noProof/>
          <w:sz w:val="24"/>
          <w:szCs w:val="24"/>
        </w:rPr>
        <w:t>da empresa BRF S.A.</w:t>
      </w:r>
    </w:p>
    <w:p w14:paraId="025B0256" w14:textId="664C079C" w:rsidR="00C12CB3" w:rsidRPr="00F05A7A" w:rsidRDefault="00C12CB3" w:rsidP="00F05A7A">
      <w:pPr>
        <w:spacing w:after="0" w:line="360" w:lineRule="auto"/>
        <w:contextualSpacing/>
        <w:rPr>
          <w:rFonts w:ascii="Arial" w:hAnsi="Arial" w:cs="Arial"/>
          <w:noProof/>
        </w:rPr>
      </w:pPr>
      <w:r w:rsidRPr="00F05A7A">
        <w:rPr>
          <w:rFonts w:ascii="Arial" w:hAnsi="Arial" w:cs="Arial"/>
          <w:noProof/>
          <w:lang w:eastAsia="pt-BR"/>
        </w:rPr>
        <w:drawing>
          <wp:inline distT="0" distB="0" distL="0" distR="0" wp14:anchorId="0DCCE56F" wp14:editId="31A258F4">
            <wp:extent cx="5334000" cy="90487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AF9B40" w14:textId="1E16DF9C" w:rsidR="00EF4E0C" w:rsidRPr="00F05A7A" w:rsidRDefault="00EF4E0C" w:rsidP="00F05A7A">
      <w:pPr>
        <w:spacing w:after="0" w:line="360" w:lineRule="auto"/>
        <w:contextualSpacing/>
        <w:jc w:val="both"/>
        <w:rPr>
          <w:rFonts w:ascii="Arial" w:hAnsi="Arial" w:cs="Arial"/>
          <w:szCs w:val="20"/>
        </w:rPr>
      </w:pPr>
      <w:r w:rsidRPr="00F05A7A">
        <w:rPr>
          <w:rFonts w:ascii="Arial" w:hAnsi="Arial" w:cs="Arial"/>
          <w:szCs w:val="20"/>
        </w:rPr>
        <w:t xml:space="preserve">Fonte: </w:t>
      </w:r>
      <w:r w:rsidR="007C21EB" w:rsidRPr="00F05A7A">
        <w:rPr>
          <w:rFonts w:ascii="Arial" w:hAnsi="Arial" w:cs="Arial"/>
          <w:szCs w:val="20"/>
        </w:rPr>
        <w:t>Dados da pesquisa, 2018.</w:t>
      </w:r>
    </w:p>
    <w:p w14:paraId="49407F7C" w14:textId="6D5F309A" w:rsidR="00EF4E0C" w:rsidRPr="00F05A7A" w:rsidRDefault="00EF4E0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lastRenderedPageBreak/>
        <w:t xml:space="preserve">Ainda </w:t>
      </w:r>
      <w:r w:rsidR="000864FB" w:rsidRPr="00F05A7A">
        <w:rPr>
          <w:rFonts w:ascii="Arial" w:hAnsi="Arial" w:cs="Arial"/>
          <w:sz w:val="24"/>
          <w:szCs w:val="24"/>
        </w:rPr>
        <w:t>é possível observar</w:t>
      </w:r>
      <w:r w:rsidRPr="00F05A7A">
        <w:rPr>
          <w:rFonts w:ascii="Arial" w:hAnsi="Arial" w:cs="Arial"/>
          <w:sz w:val="24"/>
          <w:szCs w:val="24"/>
        </w:rPr>
        <w:t xml:space="preserve"> que, </w:t>
      </w:r>
      <w:r w:rsidR="00857013" w:rsidRPr="00F05A7A">
        <w:rPr>
          <w:rFonts w:ascii="Arial" w:hAnsi="Arial" w:cs="Arial"/>
          <w:sz w:val="24"/>
          <w:szCs w:val="24"/>
        </w:rPr>
        <w:t>mesmo o ano de 2015 tendo alcançado um resultado considerado alto,</w:t>
      </w:r>
      <w:r w:rsidR="0012292E" w:rsidRPr="00F05A7A">
        <w:rPr>
          <w:rFonts w:ascii="Arial" w:hAnsi="Arial" w:cs="Arial"/>
          <w:sz w:val="24"/>
          <w:szCs w:val="24"/>
        </w:rPr>
        <w:t xml:space="preserve"> o </w:t>
      </w:r>
      <w:r w:rsidR="0032060B" w:rsidRPr="00F05A7A">
        <w:rPr>
          <w:rFonts w:ascii="Arial" w:hAnsi="Arial" w:cs="Arial"/>
          <w:sz w:val="24"/>
          <w:szCs w:val="24"/>
        </w:rPr>
        <w:t>valor da reserva de lucros não é efetivamente alto</w:t>
      </w:r>
      <w:r w:rsidR="000864FB" w:rsidRPr="00F05A7A">
        <w:rPr>
          <w:rFonts w:ascii="Arial" w:hAnsi="Arial" w:cs="Arial"/>
          <w:sz w:val="24"/>
          <w:szCs w:val="24"/>
        </w:rPr>
        <w:t>, isso</w:t>
      </w:r>
      <w:r w:rsidR="0012292E" w:rsidRPr="00F05A7A">
        <w:rPr>
          <w:rFonts w:ascii="Arial" w:hAnsi="Arial" w:cs="Arial"/>
          <w:sz w:val="24"/>
          <w:szCs w:val="24"/>
        </w:rPr>
        <w:t xml:space="preserve"> se deve aos limites estabelecidos em legislação.</w:t>
      </w:r>
      <w:r w:rsidR="00857013" w:rsidRPr="00F05A7A">
        <w:rPr>
          <w:rFonts w:ascii="Arial" w:hAnsi="Arial" w:cs="Arial"/>
          <w:sz w:val="24"/>
          <w:szCs w:val="24"/>
        </w:rPr>
        <w:t xml:space="preserve"> Nas </w:t>
      </w:r>
      <w:r w:rsidR="006A505B" w:rsidRPr="00F05A7A">
        <w:rPr>
          <w:rFonts w:ascii="Arial" w:hAnsi="Arial" w:cs="Arial"/>
          <w:sz w:val="24"/>
          <w:szCs w:val="24"/>
        </w:rPr>
        <w:t>notas explicativas os valores de saldo da conta reserva</w:t>
      </w:r>
      <w:r w:rsidR="00857013" w:rsidRPr="00F05A7A">
        <w:rPr>
          <w:rFonts w:ascii="Arial" w:hAnsi="Arial" w:cs="Arial"/>
          <w:sz w:val="24"/>
          <w:szCs w:val="24"/>
        </w:rPr>
        <w:t xml:space="preserve"> legal são explicados como sendo resultado do respeito </w:t>
      </w:r>
      <w:r w:rsidR="000864FB" w:rsidRPr="00F05A7A">
        <w:rPr>
          <w:rFonts w:ascii="Arial" w:hAnsi="Arial" w:cs="Arial"/>
          <w:sz w:val="24"/>
          <w:szCs w:val="24"/>
        </w:rPr>
        <w:t>à</w:t>
      </w:r>
      <w:r w:rsidR="00857013" w:rsidRPr="00F05A7A">
        <w:rPr>
          <w:rFonts w:ascii="Arial" w:hAnsi="Arial" w:cs="Arial"/>
          <w:sz w:val="24"/>
          <w:szCs w:val="24"/>
        </w:rPr>
        <w:t xml:space="preserve"> l</w:t>
      </w:r>
      <w:r w:rsidR="00CF1EDB" w:rsidRPr="00F05A7A">
        <w:rPr>
          <w:rFonts w:ascii="Arial" w:hAnsi="Arial" w:cs="Arial"/>
          <w:sz w:val="24"/>
          <w:szCs w:val="24"/>
        </w:rPr>
        <w:t>ei</w:t>
      </w:r>
      <w:r w:rsidR="00857013" w:rsidRPr="00F05A7A">
        <w:rPr>
          <w:rFonts w:ascii="Arial" w:hAnsi="Arial" w:cs="Arial"/>
          <w:sz w:val="24"/>
          <w:szCs w:val="24"/>
        </w:rPr>
        <w:t>:</w:t>
      </w:r>
    </w:p>
    <w:p w14:paraId="31F0B82A" w14:textId="77777777" w:rsidR="00D53341" w:rsidRPr="00F05A7A" w:rsidRDefault="00D53341" w:rsidP="00F05A7A">
      <w:pPr>
        <w:tabs>
          <w:tab w:val="left" w:pos="2268"/>
        </w:tabs>
        <w:spacing w:after="0" w:line="360" w:lineRule="auto"/>
        <w:ind w:left="2268"/>
        <w:contextualSpacing/>
        <w:jc w:val="both"/>
        <w:rPr>
          <w:rFonts w:ascii="Arial" w:hAnsi="Arial" w:cs="Arial"/>
          <w:sz w:val="20"/>
          <w:szCs w:val="20"/>
        </w:rPr>
      </w:pPr>
    </w:p>
    <w:p w14:paraId="6EA30C01" w14:textId="02D33792" w:rsidR="00857013" w:rsidRPr="00F05A7A" w:rsidRDefault="0012292E" w:rsidP="00F05A7A">
      <w:pPr>
        <w:tabs>
          <w:tab w:val="left" w:pos="2268"/>
        </w:tabs>
        <w:spacing w:after="0" w:line="240" w:lineRule="auto"/>
        <w:ind w:left="2268"/>
        <w:contextualSpacing/>
        <w:jc w:val="both"/>
        <w:rPr>
          <w:rFonts w:ascii="Arial" w:hAnsi="Arial" w:cs="Arial"/>
        </w:rPr>
      </w:pPr>
      <w:r w:rsidRPr="00F05A7A">
        <w:rPr>
          <w:rFonts w:ascii="Arial" w:hAnsi="Arial" w:cs="Arial"/>
        </w:rPr>
        <w:t>Reserva legal: Constituída na base de 5% do lucro líquido do exercício nos termos do artigo 193 da Lei nº 6.404/76, alterada pela Lei nº 11.638/07, limitado a 20% do capital social. Em 31.12.16, o saldo desta reserva correspondia a 4,34% do cap</w:t>
      </w:r>
      <w:r w:rsidR="007C21EB" w:rsidRPr="00F05A7A">
        <w:rPr>
          <w:rFonts w:ascii="Arial" w:hAnsi="Arial" w:cs="Arial"/>
        </w:rPr>
        <w:t>ital social (4,34% em 31.12.15)</w:t>
      </w:r>
      <w:r w:rsidR="00857013" w:rsidRPr="00F05A7A">
        <w:rPr>
          <w:rFonts w:ascii="Arial" w:hAnsi="Arial" w:cs="Arial"/>
        </w:rPr>
        <w:t xml:space="preserve"> (NOTAS EXPLICATIVAS/BRF S.A., 2016, p. 108).</w:t>
      </w:r>
    </w:p>
    <w:p w14:paraId="63E7E301" w14:textId="77777777" w:rsidR="006956FF" w:rsidRPr="00F05A7A" w:rsidRDefault="006956FF" w:rsidP="00F05A7A">
      <w:pPr>
        <w:tabs>
          <w:tab w:val="left" w:pos="2268"/>
        </w:tabs>
        <w:spacing w:after="0" w:line="360" w:lineRule="auto"/>
        <w:ind w:left="2268"/>
        <w:contextualSpacing/>
        <w:jc w:val="both"/>
        <w:rPr>
          <w:rFonts w:ascii="Arial" w:hAnsi="Arial" w:cs="Arial"/>
          <w:sz w:val="20"/>
          <w:szCs w:val="20"/>
        </w:rPr>
      </w:pPr>
    </w:p>
    <w:p w14:paraId="19D82375" w14:textId="7F087237" w:rsidR="00AE6FD5" w:rsidRPr="00F05A7A" w:rsidRDefault="00CF1EDB"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Já as reservas de capital obtiveram um aumento de 487,65% se comparado ao ano anterior,</w:t>
      </w:r>
      <w:r w:rsidR="000864FB" w:rsidRPr="00F05A7A">
        <w:rPr>
          <w:rFonts w:ascii="Arial" w:hAnsi="Arial" w:cs="Arial"/>
          <w:sz w:val="24"/>
          <w:szCs w:val="24"/>
        </w:rPr>
        <w:t xml:space="preserve"> de acordo com o item 28.7.1 da nota explicativa. I</w:t>
      </w:r>
      <w:r w:rsidRPr="00F05A7A">
        <w:rPr>
          <w:rFonts w:ascii="Arial" w:hAnsi="Arial" w:cs="Arial"/>
          <w:sz w:val="24"/>
          <w:szCs w:val="24"/>
        </w:rPr>
        <w:t xml:space="preserve">sso </w:t>
      </w:r>
      <w:r w:rsidR="0042775D" w:rsidRPr="00F05A7A">
        <w:rPr>
          <w:rFonts w:ascii="Arial" w:hAnsi="Arial" w:cs="Arial"/>
          <w:sz w:val="24"/>
          <w:szCs w:val="24"/>
        </w:rPr>
        <w:t>acontece, pois,</w:t>
      </w:r>
      <w:r w:rsidRPr="00F05A7A">
        <w:rPr>
          <w:rFonts w:ascii="Arial" w:hAnsi="Arial" w:cs="Arial"/>
          <w:sz w:val="24"/>
          <w:szCs w:val="24"/>
        </w:rPr>
        <w:t xml:space="preserve"> a reserva de capital independe das re</w:t>
      </w:r>
      <w:r w:rsidR="0084648A" w:rsidRPr="00F05A7A">
        <w:rPr>
          <w:rFonts w:ascii="Arial" w:hAnsi="Arial" w:cs="Arial"/>
          <w:sz w:val="24"/>
          <w:szCs w:val="24"/>
        </w:rPr>
        <w:t xml:space="preserve">ceitas ou do resultado da empresa, </w:t>
      </w:r>
      <w:r w:rsidR="0042775D" w:rsidRPr="00F05A7A">
        <w:rPr>
          <w:rFonts w:ascii="Arial" w:hAnsi="Arial" w:cs="Arial"/>
          <w:sz w:val="24"/>
          <w:szCs w:val="24"/>
        </w:rPr>
        <w:t xml:space="preserve">seus valores advêm das negociações entre sócios que não possuem contrapartida por parte da empresa, ou seja, é um reforço do capital. </w:t>
      </w:r>
    </w:p>
    <w:p w14:paraId="021299A7" w14:textId="78DF7E4F" w:rsidR="006956FF" w:rsidRPr="00F05A7A" w:rsidRDefault="006956FF" w:rsidP="00F05A7A">
      <w:pPr>
        <w:spacing w:after="0" w:line="360" w:lineRule="auto"/>
        <w:ind w:firstLine="567"/>
        <w:contextualSpacing/>
        <w:jc w:val="both"/>
        <w:rPr>
          <w:rFonts w:ascii="Arial" w:hAnsi="Arial" w:cs="Arial"/>
          <w:sz w:val="24"/>
          <w:szCs w:val="24"/>
        </w:rPr>
      </w:pPr>
    </w:p>
    <w:p w14:paraId="255C8D49" w14:textId="445D87EE" w:rsidR="00B25CF3" w:rsidRPr="00F05A7A" w:rsidRDefault="00B25CF3" w:rsidP="00F05A7A">
      <w:pPr>
        <w:pStyle w:val="PargrafodaLista"/>
        <w:numPr>
          <w:ilvl w:val="2"/>
          <w:numId w:val="16"/>
        </w:numPr>
        <w:spacing w:after="0" w:line="360" w:lineRule="auto"/>
        <w:ind w:left="567" w:hanging="567"/>
        <w:jc w:val="both"/>
        <w:rPr>
          <w:rFonts w:ascii="Arial" w:hAnsi="Arial" w:cs="Arial"/>
          <w:sz w:val="24"/>
          <w:szCs w:val="24"/>
        </w:rPr>
      </w:pPr>
      <w:r w:rsidRPr="00F05A7A">
        <w:rPr>
          <w:rFonts w:ascii="Arial" w:hAnsi="Arial" w:cs="Arial"/>
          <w:sz w:val="24"/>
          <w:szCs w:val="24"/>
        </w:rPr>
        <w:t xml:space="preserve"> Ajuste a </w:t>
      </w:r>
      <w:r w:rsidR="007C21EB" w:rsidRPr="00F05A7A">
        <w:rPr>
          <w:rFonts w:ascii="Arial" w:hAnsi="Arial" w:cs="Arial"/>
          <w:sz w:val="24"/>
          <w:szCs w:val="24"/>
        </w:rPr>
        <w:t>valor presente</w:t>
      </w:r>
    </w:p>
    <w:p w14:paraId="7A172AE5" w14:textId="77777777" w:rsidR="00D53341" w:rsidRPr="00F05A7A" w:rsidRDefault="00D53341" w:rsidP="00F05A7A">
      <w:pPr>
        <w:spacing w:after="0" w:line="360" w:lineRule="auto"/>
        <w:ind w:firstLine="567"/>
        <w:contextualSpacing/>
        <w:jc w:val="both"/>
        <w:rPr>
          <w:rFonts w:ascii="Arial" w:hAnsi="Arial" w:cs="Arial"/>
          <w:sz w:val="24"/>
          <w:szCs w:val="24"/>
        </w:rPr>
      </w:pPr>
    </w:p>
    <w:p w14:paraId="02A4FF85" w14:textId="6284ADCA" w:rsidR="009627F5" w:rsidRPr="00F05A7A" w:rsidRDefault="0042775D"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De acordo com a entidade, o Ajuste a Valor Presente é calculado sobre valores a receber, e a</w:t>
      </w:r>
      <w:r w:rsidR="000864FB" w:rsidRPr="00F05A7A">
        <w:rPr>
          <w:rFonts w:ascii="Arial" w:hAnsi="Arial" w:cs="Arial"/>
          <w:sz w:val="24"/>
          <w:szCs w:val="24"/>
        </w:rPr>
        <w:t xml:space="preserve"> </w:t>
      </w:r>
      <w:r w:rsidRPr="00F05A7A">
        <w:rPr>
          <w:rFonts w:ascii="Arial" w:hAnsi="Arial" w:cs="Arial"/>
          <w:sz w:val="24"/>
          <w:szCs w:val="24"/>
        </w:rPr>
        <w:t>pagar, tanto no curto quanto no longo prazo, e utiliza-se a média ponderada para se calcular os juros embutidos na operação.</w:t>
      </w:r>
    </w:p>
    <w:p w14:paraId="318C06B9" w14:textId="50270EAE" w:rsidR="00E96B31" w:rsidRPr="00F05A7A" w:rsidRDefault="0042775D" w:rsidP="00F05A7A">
      <w:pPr>
        <w:spacing w:after="0" w:line="240" w:lineRule="auto"/>
        <w:ind w:left="2268"/>
        <w:contextualSpacing/>
        <w:jc w:val="both"/>
        <w:rPr>
          <w:rFonts w:ascii="Arial" w:hAnsi="Arial" w:cs="Arial"/>
        </w:rPr>
      </w:pPr>
      <w:r w:rsidRPr="00F05A7A">
        <w:rPr>
          <w:rFonts w:ascii="Arial" w:hAnsi="Arial" w:cs="Arial"/>
        </w:rPr>
        <w:t>Ajuste a valor presente: a Companhia mensura o ajuste a valor presente sobre os</w:t>
      </w:r>
      <w:r w:rsidR="00F615CC" w:rsidRPr="00F05A7A">
        <w:rPr>
          <w:rFonts w:ascii="Arial" w:hAnsi="Arial" w:cs="Arial"/>
        </w:rPr>
        <w:t xml:space="preserve"> </w:t>
      </w:r>
      <w:r w:rsidRPr="00F05A7A">
        <w:rPr>
          <w:rFonts w:ascii="Arial" w:hAnsi="Arial" w:cs="Arial"/>
        </w:rPr>
        <w:t>saldos de curto e longo prazo de contas a receber, fornecedores e outras</w:t>
      </w:r>
      <w:r w:rsidR="00F615CC" w:rsidRPr="00F05A7A">
        <w:rPr>
          <w:rFonts w:ascii="Arial" w:hAnsi="Arial" w:cs="Arial"/>
        </w:rPr>
        <w:t xml:space="preserve"> </w:t>
      </w:r>
      <w:r w:rsidRPr="00F05A7A">
        <w:rPr>
          <w:rFonts w:ascii="Arial" w:hAnsi="Arial" w:cs="Arial"/>
        </w:rPr>
        <w:t>obrigações, sendo registrados em contas redutoras das respectivas rubricas em</w:t>
      </w:r>
      <w:r w:rsidR="00F615CC" w:rsidRPr="00F05A7A">
        <w:rPr>
          <w:rFonts w:ascii="Arial" w:hAnsi="Arial" w:cs="Arial"/>
        </w:rPr>
        <w:t xml:space="preserve"> </w:t>
      </w:r>
      <w:r w:rsidRPr="00F05A7A">
        <w:rPr>
          <w:rFonts w:ascii="Arial" w:hAnsi="Arial" w:cs="Arial"/>
        </w:rPr>
        <w:t>contrapartida ao resultado financeiro. A Companhia adota o custo médio</w:t>
      </w:r>
      <w:r w:rsidR="00F615CC" w:rsidRPr="00F05A7A">
        <w:rPr>
          <w:rFonts w:ascii="Arial" w:hAnsi="Arial" w:cs="Arial"/>
        </w:rPr>
        <w:t xml:space="preserve"> </w:t>
      </w:r>
      <w:r w:rsidRPr="00F05A7A">
        <w:rPr>
          <w:rFonts w:ascii="Arial" w:hAnsi="Arial" w:cs="Arial"/>
        </w:rPr>
        <w:t>ponderado de capital para apurar o ajuste a valor presente dos ativos e passivos</w:t>
      </w:r>
      <w:r w:rsidR="00F615CC" w:rsidRPr="00F05A7A">
        <w:rPr>
          <w:rFonts w:ascii="Arial" w:hAnsi="Arial" w:cs="Arial"/>
        </w:rPr>
        <w:t xml:space="preserve"> </w:t>
      </w:r>
      <w:r w:rsidRPr="00F05A7A">
        <w:rPr>
          <w:rFonts w:ascii="Arial" w:hAnsi="Arial" w:cs="Arial"/>
        </w:rPr>
        <w:t>mencionados que corresponde a 14,30% a.a. em 31.12.16 (12,80% a.a. em</w:t>
      </w:r>
      <w:r w:rsidR="00F615CC" w:rsidRPr="00F05A7A">
        <w:rPr>
          <w:rFonts w:ascii="Arial" w:hAnsi="Arial" w:cs="Arial"/>
        </w:rPr>
        <w:t xml:space="preserve"> </w:t>
      </w:r>
      <w:r w:rsidR="00865907" w:rsidRPr="00F05A7A">
        <w:rPr>
          <w:rFonts w:ascii="Arial" w:hAnsi="Arial" w:cs="Arial"/>
        </w:rPr>
        <w:t>31.12.15)</w:t>
      </w:r>
      <w:r w:rsidR="00F615CC" w:rsidRPr="00F05A7A">
        <w:rPr>
          <w:rFonts w:ascii="Arial" w:hAnsi="Arial" w:cs="Arial"/>
        </w:rPr>
        <w:t xml:space="preserve"> (NOTAS EXPLICATIVAS BRF S.A., 2016, p. 11).</w:t>
      </w:r>
    </w:p>
    <w:p w14:paraId="19D62073" w14:textId="77777777" w:rsidR="006956FF" w:rsidRPr="00F05A7A" w:rsidRDefault="006956FF" w:rsidP="00F05A7A">
      <w:pPr>
        <w:spacing w:after="0" w:line="240" w:lineRule="auto"/>
        <w:ind w:left="2268"/>
        <w:contextualSpacing/>
        <w:jc w:val="both"/>
        <w:rPr>
          <w:rFonts w:ascii="Arial" w:hAnsi="Arial" w:cs="Arial"/>
          <w:sz w:val="20"/>
          <w:szCs w:val="20"/>
        </w:rPr>
      </w:pPr>
    </w:p>
    <w:p w14:paraId="17CD99E8" w14:textId="4CAA308E" w:rsidR="00843406" w:rsidRPr="00F05A7A" w:rsidRDefault="008A3F05"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De acordo com o item 9 da nota explicativa, Contas a Receber de Clientes e Títulos a Receber, nota-se que o ajuste a valor presente </w:t>
      </w:r>
      <w:r w:rsidR="00823EF3" w:rsidRPr="00F05A7A">
        <w:rPr>
          <w:rFonts w:ascii="Arial" w:hAnsi="Arial" w:cs="Arial"/>
          <w:sz w:val="24"/>
          <w:szCs w:val="24"/>
        </w:rPr>
        <w:t>representa 0,</w:t>
      </w:r>
      <w:r w:rsidR="009B14C9" w:rsidRPr="00F05A7A">
        <w:rPr>
          <w:rFonts w:ascii="Arial" w:hAnsi="Arial" w:cs="Arial"/>
          <w:sz w:val="24"/>
          <w:szCs w:val="24"/>
        </w:rPr>
        <w:t>4619</w:t>
      </w:r>
      <w:r w:rsidRPr="00F05A7A">
        <w:rPr>
          <w:rFonts w:ascii="Arial" w:hAnsi="Arial" w:cs="Arial"/>
          <w:sz w:val="24"/>
          <w:szCs w:val="24"/>
        </w:rPr>
        <w:t>%</w:t>
      </w:r>
      <w:r w:rsidR="00823EF3" w:rsidRPr="00F05A7A">
        <w:rPr>
          <w:rFonts w:ascii="Arial" w:hAnsi="Arial" w:cs="Arial"/>
          <w:sz w:val="24"/>
          <w:szCs w:val="24"/>
        </w:rPr>
        <w:t xml:space="preserve"> do valor de contas a receber, já os títulos a receber, o AVP equivale</w:t>
      </w:r>
      <w:r w:rsidRPr="00F05A7A">
        <w:rPr>
          <w:rFonts w:ascii="Arial" w:hAnsi="Arial" w:cs="Arial"/>
          <w:sz w:val="24"/>
          <w:szCs w:val="24"/>
        </w:rPr>
        <w:t xml:space="preserve"> a </w:t>
      </w:r>
      <w:r w:rsidR="00823EF3" w:rsidRPr="00F05A7A">
        <w:rPr>
          <w:rFonts w:ascii="Arial" w:hAnsi="Arial" w:cs="Arial"/>
          <w:sz w:val="24"/>
          <w:szCs w:val="24"/>
        </w:rPr>
        <w:t>0,06</w:t>
      </w:r>
      <w:r w:rsidR="009B14C9" w:rsidRPr="00F05A7A">
        <w:rPr>
          <w:rFonts w:ascii="Arial" w:hAnsi="Arial" w:cs="Arial"/>
          <w:sz w:val="24"/>
          <w:szCs w:val="24"/>
        </w:rPr>
        <w:t>25</w:t>
      </w:r>
      <w:r w:rsidRPr="00F05A7A">
        <w:rPr>
          <w:rFonts w:ascii="Arial" w:hAnsi="Arial" w:cs="Arial"/>
          <w:sz w:val="24"/>
          <w:szCs w:val="24"/>
        </w:rPr>
        <w:t>%</w:t>
      </w:r>
      <w:r w:rsidR="00E96B31" w:rsidRPr="00F05A7A">
        <w:rPr>
          <w:rFonts w:ascii="Arial" w:hAnsi="Arial" w:cs="Arial"/>
          <w:sz w:val="24"/>
          <w:szCs w:val="24"/>
        </w:rPr>
        <w:t>, no consolidado.</w:t>
      </w:r>
      <w:r w:rsidR="00B25CF3" w:rsidRPr="00F05A7A">
        <w:rPr>
          <w:rFonts w:ascii="Arial" w:hAnsi="Arial" w:cs="Arial"/>
          <w:sz w:val="24"/>
          <w:szCs w:val="24"/>
        </w:rPr>
        <w:t xml:space="preserve"> </w:t>
      </w:r>
      <w:r w:rsidR="0071228A" w:rsidRPr="00F05A7A">
        <w:rPr>
          <w:rFonts w:ascii="Arial" w:hAnsi="Arial" w:cs="Arial"/>
          <w:sz w:val="24"/>
          <w:szCs w:val="24"/>
        </w:rPr>
        <w:t>O estoque da entidade também valor escriturado na conta redutora de AVP to</w:t>
      </w:r>
      <w:r w:rsidR="004F1F78" w:rsidRPr="00F05A7A">
        <w:rPr>
          <w:rFonts w:ascii="Arial" w:hAnsi="Arial" w:cs="Arial"/>
          <w:sz w:val="24"/>
          <w:szCs w:val="24"/>
        </w:rPr>
        <w:t>talizando R$ 30.143 mil</w:t>
      </w:r>
      <w:r w:rsidR="002B6B94" w:rsidRPr="00F05A7A">
        <w:rPr>
          <w:rFonts w:ascii="Arial" w:hAnsi="Arial" w:cs="Arial"/>
          <w:sz w:val="24"/>
          <w:szCs w:val="24"/>
        </w:rPr>
        <w:t>hões de</w:t>
      </w:r>
      <w:r w:rsidR="004F1F78" w:rsidRPr="00F05A7A">
        <w:rPr>
          <w:rFonts w:ascii="Arial" w:hAnsi="Arial" w:cs="Arial"/>
          <w:sz w:val="24"/>
          <w:szCs w:val="24"/>
        </w:rPr>
        <w:t xml:space="preserve"> reais</w:t>
      </w:r>
      <w:r w:rsidR="0071228A" w:rsidRPr="00F05A7A">
        <w:rPr>
          <w:rFonts w:ascii="Arial" w:hAnsi="Arial" w:cs="Arial"/>
          <w:sz w:val="24"/>
          <w:szCs w:val="24"/>
        </w:rPr>
        <w:t>, no entanto não há explicativa do cálculo, o valor é evidenciado no item 10. Já no passivo, o valor de ajuste a valor presente é mais relevante, representando uma redução de 0,8313% no valor dos fornecedores.</w:t>
      </w:r>
    </w:p>
    <w:p w14:paraId="38159792" w14:textId="77777777" w:rsidR="00843406" w:rsidRPr="00F05A7A" w:rsidRDefault="00843406" w:rsidP="00F05A7A">
      <w:pPr>
        <w:spacing w:after="0" w:line="360" w:lineRule="auto"/>
        <w:ind w:firstLine="709"/>
        <w:contextualSpacing/>
        <w:jc w:val="both"/>
        <w:rPr>
          <w:rFonts w:ascii="Arial" w:hAnsi="Arial" w:cs="Arial"/>
          <w:sz w:val="24"/>
          <w:szCs w:val="24"/>
        </w:rPr>
      </w:pPr>
    </w:p>
    <w:p w14:paraId="5C626065" w14:textId="46258500" w:rsidR="00865907" w:rsidRPr="00F05A7A" w:rsidRDefault="00865907" w:rsidP="00F05A7A">
      <w:pPr>
        <w:spacing w:after="0" w:line="240" w:lineRule="auto"/>
        <w:contextualSpacing/>
        <w:jc w:val="both"/>
        <w:rPr>
          <w:rFonts w:ascii="Arial" w:hAnsi="Arial" w:cs="Arial"/>
          <w:noProof/>
          <w:sz w:val="24"/>
          <w:szCs w:val="24"/>
        </w:rPr>
      </w:pPr>
      <w:r w:rsidRPr="00F05A7A">
        <w:rPr>
          <w:rFonts w:ascii="Arial" w:hAnsi="Arial" w:cs="Arial"/>
          <w:sz w:val="24"/>
          <w:szCs w:val="24"/>
        </w:rPr>
        <w:lastRenderedPageBreak/>
        <w:t>GRÁFICO</w:t>
      </w:r>
      <w:r w:rsidR="00843406" w:rsidRPr="00F05A7A">
        <w:rPr>
          <w:rFonts w:ascii="Arial" w:hAnsi="Arial" w:cs="Arial"/>
          <w:sz w:val="24"/>
          <w:szCs w:val="24"/>
        </w:rPr>
        <w:t xml:space="preserve"> 2 – Comparativo 2016x2015 do saldo de reconhecimento de Ajuste a Valor Presente</w:t>
      </w:r>
      <w:r w:rsidR="00843406" w:rsidRPr="00F05A7A">
        <w:rPr>
          <w:rFonts w:ascii="Arial" w:hAnsi="Arial" w:cs="Arial"/>
          <w:noProof/>
          <w:sz w:val="24"/>
          <w:szCs w:val="24"/>
        </w:rPr>
        <w:t xml:space="preserve"> da empresa BRF S.A.</w:t>
      </w:r>
    </w:p>
    <w:p w14:paraId="4F7EEB5B" w14:textId="392BB242" w:rsidR="00843406" w:rsidRPr="00F05A7A" w:rsidRDefault="00843406" w:rsidP="00F05A7A">
      <w:pPr>
        <w:spacing w:after="0" w:line="240" w:lineRule="auto"/>
        <w:contextualSpacing/>
        <w:jc w:val="both"/>
        <w:rPr>
          <w:rFonts w:ascii="Arial" w:hAnsi="Arial" w:cs="Arial"/>
          <w:noProof/>
        </w:rPr>
      </w:pPr>
      <w:r w:rsidRPr="00F05A7A">
        <w:rPr>
          <w:rFonts w:ascii="Arial" w:hAnsi="Arial" w:cs="Arial"/>
          <w:noProof/>
          <w:lang w:eastAsia="pt-BR"/>
        </w:rPr>
        <w:drawing>
          <wp:inline distT="0" distB="0" distL="0" distR="0" wp14:anchorId="72222378" wp14:editId="42CCE350">
            <wp:extent cx="5448300" cy="16383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6B93239" w14:textId="20C0CE16" w:rsidR="00843406" w:rsidRPr="00F05A7A" w:rsidRDefault="00843406" w:rsidP="00F05A7A">
      <w:pPr>
        <w:spacing w:after="0" w:line="360" w:lineRule="auto"/>
        <w:contextualSpacing/>
        <w:jc w:val="both"/>
        <w:rPr>
          <w:rFonts w:ascii="Arial" w:hAnsi="Arial" w:cs="Arial"/>
          <w:szCs w:val="20"/>
        </w:rPr>
      </w:pPr>
      <w:r w:rsidRPr="00F05A7A">
        <w:rPr>
          <w:rFonts w:ascii="Arial" w:hAnsi="Arial" w:cs="Arial"/>
          <w:szCs w:val="20"/>
        </w:rPr>
        <w:t xml:space="preserve">Fonte: </w:t>
      </w:r>
      <w:r w:rsidR="007C4E69" w:rsidRPr="00F05A7A">
        <w:rPr>
          <w:rFonts w:ascii="Arial" w:hAnsi="Arial" w:cs="Arial"/>
          <w:szCs w:val="20"/>
        </w:rPr>
        <w:t>Dados da pesquisa</w:t>
      </w:r>
      <w:r w:rsidR="00865907" w:rsidRPr="00F05A7A">
        <w:rPr>
          <w:rFonts w:ascii="Arial" w:hAnsi="Arial" w:cs="Arial"/>
          <w:szCs w:val="20"/>
        </w:rPr>
        <w:t>, 2018.</w:t>
      </w:r>
    </w:p>
    <w:p w14:paraId="70473312" w14:textId="77777777" w:rsidR="00865907" w:rsidRPr="00F05A7A" w:rsidRDefault="00865907" w:rsidP="00F05A7A">
      <w:pPr>
        <w:spacing w:after="0" w:line="360" w:lineRule="auto"/>
        <w:ind w:firstLine="709"/>
        <w:contextualSpacing/>
        <w:jc w:val="both"/>
        <w:rPr>
          <w:rFonts w:ascii="Arial" w:hAnsi="Arial" w:cs="Arial"/>
          <w:sz w:val="24"/>
          <w:szCs w:val="24"/>
        </w:rPr>
      </w:pPr>
    </w:p>
    <w:p w14:paraId="3613B1BD" w14:textId="0469F777" w:rsidR="00B33F31" w:rsidRPr="00F05A7A" w:rsidRDefault="00CC233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No entanto, existe um </w:t>
      </w:r>
      <w:r w:rsidR="00853153" w:rsidRPr="00F05A7A">
        <w:rPr>
          <w:rFonts w:ascii="Arial" w:hAnsi="Arial" w:cs="Arial"/>
          <w:sz w:val="24"/>
          <w:szCs w:val="24"/>
        </w:rPr>
        <w:t xml:space="preserve">reconhecimento de R$ 353.576 milhões </w:t>
      </w:r>
      <w:r w:rsidRPr="00F05A7A">
        <w:rPr>
          <w:rFonts w:ascii="Arial" w:hAnsi="Arial" w:cs="Arial"/>
          <w:sz w:val="24"/>
          <w:szCs w:val="24"/>
        </w:rPr>
        <w:t>de despesa com ajuste a valor presente, no grupo de despesas financeiras da DRE Consolidada da companhia, ou seja, além dos valores citados acima, existem outros reconhecimentos de ajuste a valor presente feitos pela companhia que não foram abordados nas notas explicativas.</w:t>
      </w:r>
    </w:p>
    <w:p w14:paraId="22F57143" w14:textId="2C968258" w:rsidR="005A1BBF" w:rsidRPr="00F05A7A" w:rsidRDefault="00CC233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Da mesma forma que, houve uma redução do passivo com ajuste a valor presente</w:t>
      </w:r>
      <w:r w:rsidR="002B6B94" w:rsidRPr="00F05A7A">
        <w:rPr>
          <w:rFonts w:ascii="Arial" w:hAnsi="Arial" w:cs="Arial"/>
          <w:sz w:val="24"/>
          <w:szCs w:val="24"/>
        </w:rPr>
        <w:t xml:space="preserve"> e este valor </w:t>
      </w:r>
      <w:r w:rsidRPr="00F05A7A">
        <w:rPr>
          <w:rFonts w:ascii="Arial" w:hAnsi="Arial" w:cs="Arial"/>
          <w:sz w:val="24"/>
          <w:szCs w:val="24"/>
        </w:rPr>
        <w:t>deveria ser lançado contra uma receita de ajuste a valor presente, porém a mesma não foi evidenciada nas receitas financeiras da entidade.</w:t>
      </w:r>
      <w:r w:rsidR="005A1BBF" w:rsidRPr="00F05A7A">
        <w:rPr>
          <w:rFonts w:ascii="Arial" w:hAnsi="Arial" w:cs="Arial"/>
          <w:sz w:val="24"/>
          <w:szCs w:val="24"/>
        </w:rPr>
        <w:t xml:space="preserve"> É possível neste caso, que exista uma conta somente para o registro tanto das despesas quanto das receitas, desta forma, o valor final significa o encontro dos valores registrados pela empresa, e que o net entre receitas e despesas de AVP é negativo, ou seja, as despesas com ajuste a valor presente se sobpuseram sobre as receitas.</w:t>
      </w:r>
    </w:p>
    <w:p w14:paraId="267A10D9" w14:textId="03B12518" w:rsidR="00CC233C" w:rsidRPr="00F05A7A" w:rsidRDefault="00CC233C" w:rsidP="00F05A7A">
      <w:pPr>
        <w:keepNext/>
        <w:keepLines/>
        <w:spacing w:after="0" w:line="360" w:lineRule="auto"/>
        <w:ind w:firstLine="567"/>
        <w:contextualSpacing/>
        <w:jc w:val="both"/>
        <w:rPr>
          <w:rFonts w:ascii="Arial" w:hAnsi="Arial" w:cs="Arial"/>
          <w:sz w:val="24"/>
          <w:szCs w:val="24"/>
        </w:rPr>
      </w:pPr>
      <w:r w:rsidRPr="00F05A7A">
        <w:rPr>
          <w:rFonts w:ascii="Arial" w:hAnsi="Arial" w:cs="Arial"/>
          <w:sz w:val="24"/>
          <w:szCs w:val="24"/>
        </w:rPr>
        <w:t xml:space="preserve"> </w:t>
      </w:r>
    </w:p>
    <w:p w14:paraId="3DE8B94C" w14:textId="438637B3" w:rsidR="005A1BBF" w:rsidRPr="00F05A7A" w:rsidRDefault="00B33F31" w:rsidP="00F05A7A">
      <w:pPr>
        <w:pStyle w:val="PargrafodaLista"/>
        <w:keepNext/>
        <w:keepLines/>
        <w:numPr>
          <w:ilvl w:val="2"/>
          <w:numId w:val="16"/>
        </w:numPr>
        <w:spacing w:after="0" w:line="360" w:lineRule="auto"/>
        <w:ind w:left="567" w:hanging="567"/>
        <w:jc w:val="both"/>
        <w:rPr>
          <w:rFonts w:ascii="Arial" w:hAnsi="Arial" w:cs="Arial"/>
          <w:sz w:val="24"/>
          <w:szCs w:val="24"/>
        </w:rPr>
      </w:pPr>
      <w:r w:rsidRPr="00F05A7A">
        <w:rPr>
          <w:rFonts w:ascii="Arial" w:hAnsi="Arial" w:cs="Arial"/>
          <w:sz w:val="24"/>
          <w:szCs w:val="24"/>
        </w:rPr>
        <w:t xml:space="preserve"> </w:t>
      </w:r>
      <w:r w:rsidR="005A1BBF" w:rsidRPr="00F05A7A">
        <w:rPr>
          <w:rFonts w:ascii="Arial" w:hAnsi="Arial" w:cs="Arial"/>
          <w:sz w:val="24"/>
          <w:szCs w:val="24"/>
        </w:rPr>
        <w:t xml:space="preserve">Mensuração </w:t>
      </w:r>
      <w:r w:rsidR="00865907" w:rsidRPr="00F05A7A">
        <w:rPr>
          <w:rFonts w:ascii="Arial" w:hAnsi="Arial" w:cs="Arial"/>
          <w:sz w:val="24"/>
          <w:szCs w:val="24"/>
        </w:rPr>
        <w:t>do valor justo</w:t>
      </w:r>
    </w:p>
    <w:p w14:paraId="55EB16D1" w14:textId="77777777" w:rsidR="00D53341" w:rsidRPr="00F05A7A" w:rsidRDefault="00D53341" w:rsidP="00F05A7A">
      <w:pPr>
        <w:keepNext/>
        <w:keepLines/>
        <w:spacing w:after="0" w:line="360" w:lineRule="auto"/>
        <w:ind w:firstLine="567"/>
        <w:contextualSpacing/>
        <w:jc w:val="both"/>
        <w:rPr>
          <w:rFonts w:ascii="Arial" w:hAnsi="Arial" w:cs="Arial"/>
          <w:sz w:val="24"/>
          <w:szCs w:val="24"/>
        </w:rPr>
      </w:pPr>
    </w:p>
    <w:p w14:paraId="52B331A1" w14:textId="161AD9BD" w:rsidR="0071228A" w:rsidRPr="00F05A7A" w:rsidRDefault="0071228A" w:rsidP="00F05A7A">
      <w:pPr>
        <w:keepNext/>
        <w:keepLines/>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O Ajuste a Valor Justo também é aplicado nas operações realizadas pela empresa. Instrumentos financeiros e não derivativos, ativos financeiros disponíveis para venda, aplicações financeiras classificadas como caixa e equivalentes de caixa, pagamentos baseados em ações e benefícios a empregados, </w:t>
      </w:r>
      <w:r w:rsidR="00BF27C3" w:rsidRPr="00F05A7A">
        <w:rPr>
          <w:rFonts w:ascii="Arial" w:hAnsi="Arial" w:cs="Arial"/>
          <w:sz w:val="24"/>
          <w:szCs w:val="24"/>
        </w:rPr>
        <w:t xml:space="preserve">operações de </w:t>
      </w:r>
      <w:r w:rsidR="00BF27C3" w:rsidRPr="00F05A7A">
        <w:rPr>
          <w:rFonts w:ascii="Arial" w:hAnsi="Arial" w:cs="Arial"/>
          <w:i/>
          <w:sz w:val="24"/>
          <w:szCs w:val="24"/>
        </w:rPr>
        <w:t xml:space="preserve">hedge, </w:t>
      </w:r>
      <w:r w:rsidR="00BF27C3" w:rsidRPr="00F05A7A">
        <w:rPr>
          <w:rFonts w:ascii="Arial" w:hAnsi="Arial" w:cs="Arial"/>
          <w:sz w:val="24"/>
          <w:szCs w:val="24"/>
        </w:rPr>
        <w:t xml:space="preserve">empréstimos, </w:t>
      </w:r>
      <w:r w:rsidRPr="00F05A7A">
        <w:rPr>
          <w:rFonts w:ascii="Arial" w:hAnsi="Arial" w:cs="Arial"/>
          <w:sz w:val="24"/>
          <w:szCs w:val="24"/>
        </w:rPr>
        <w:t>e ativos biológicos são exemplos de operações mensuradas pelo valor justo,</w:t>
      </w:r>
      <w:r w:rsidR="00BF27C3" w:rsidRPr="00F05A7A">
        <w:rPr>
          <w:rFonts w:ascii="Arial" w:hAnsi="Arial" w:cs="Arial"/>
          <w:sz w:val="24"/>
          <w:szCs w:val="24"/>
        </w:rPr>
        <w:t xml:space="preserve"> </w:t>
      </w:r>
      <w:r w:rsidR="00865907" w:rsidRPr="00F05A7A">
        <w:rPr>
          <w:rFonts w:ascii="Arial" w:hAnsi="Arial" w:cs="Arial"/>
          <w:sz w:val="24"/>
          <w:szCs w:val="24"/>
        </w:rPr>
        <w:t>conforme as notas explicativas</w:t>
      </w:r>
      <w:r w:rsidRPr="00F05A7A">
        <w:rPr>
          <w:rFonts w:ascii="Arial" w:hAnsi="Arial" w:cs="Arial"/>
          <w:sz w:val="24"/>
          <w:szCs w:val="24"/>
        </w:rPr>
        <w:t xml:space="preserve"> (</w:t>
      </w:r>
      <w:r w:rsidR="00490A9B" w:rsidRPr="00F05A7A">
        <w:rPr>
          <w:rFonts w:ascii="Arial" w:hAnsi="Arial" w:cs="Arial"/>
          <w:sz w:val="24"/>
          <w:szCs w:val="24"/>
        </w:rPr>
        <w:t>NOTAS EXPLICATIVAS, 2016, p. 7</w:t>
      </w:r>
      <w:r w:rsidRPr="00F05A7A">
        <w:rPr>
          <w:rFonts w:ascii="Arial" w:hAnsi="Arial" w:cs="Arial"/>
          <w:sz w:val="24"/>
          <w:szCs w:val="24"/>
        </w:rPr>
        <w:t>).</w:t>
      </w:r>
    </w:p>
    <w:p w14:paraId="0D6A3167" w14:textId="25B91B72" w:rsidR="00A876CC" w:rsidRPr="00F05A7A" w:rsidRDefault="0071228A"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Também se encontra registrado nas notas explicativas que as ações entre coligadas e controladas são mensuradas pelo va</w:t>
      </w:r>
      <w:r w:rsidR="002B6B94" w:rsidRPr="00F05A7A">
        <w:rPr>
          <w:rFonts w:ascii="Arial" w:hAnsi="Arial" w:cs="Arial"/>
          <w:sz w:val="24"/>
          <w:szCs w:val="24"/>
        </w:rPr>
        <w:t>lor justo, conforme item 3.4 da nota</w:t>
      </w:r>
      <w:r w:rsidRPr="00F05A7A">
        <w:rPr>
          <w:rFonts w:ascii="Arial" w:hAnsi="Arial" w:cs="Arial"/>
          <w:sz w:val="24"/>
          <w:szCs w:val="24"/>
        </w:rPr>
        <w:t>:</w:t>
      </w:r>
    </w:p>
    <w:p w14:paraId="36D72379" w14:textId="77777777" w:rsidR="00D53341" w:rsidRPr="00F05A7A" w:rsidRDefault="00D53341" w:rsidP="00F05A7A">
      <w:pPr>
        <w:spacing w:after="0" w:line="240" w:lineRule="auto"/>
        <w:ind w:left="2268"/>
        <w:contextualSpacing/>
        <w:jc w:val="both"/>
        <w:rPr>
          <w:rFonts w:ascii="Arial" w:hAnsi="Arial" w:cs="Arial"/>
          <w:sz w:val="20"/>
          <w:szCs w:val="20"/>
        </w:rPr>
      </w:pPr>
    </w:p>
    <w:p w14:paraId="136CCE09" w14:textId="424168ED" w:rsidR="0071228A" w:rsidRPr="00F05A7A" w:rsidRDefault="0071228A" w:rsidP="00F05A7A">
      <w:pPr>
        <w:spacing w:after="0" w:line="240" w:lineRule="auto"/>
        <w:ind w:left="2268"/>
        <w:contextualSpacing/>
        <w:jc w:val="both"/>
        <w:rPr>
          <w:rFonts w:ascii="Arial" w:hAnsi="Arial" w:cs="Arial"/>
        </w:rPr>
      </w:pPr>
      <w:r w:rsidRPr="00F05A7A">
        <w:rPr>
          <w:rFonts w:ascii="Arial" w:hAnsi="Arial" w:cs="Arial"/>
        </w:rPr>
        <w:lastRenderedPageBreak/>
        <w:t>Combinação de negócios: são contabilizadas utilizando o método de aquisição. O custo de uma aquisição é mensurado pela soma da contraprestação transferida, avaliada com base no valor justo na data de aquisição, e o valor de qualquer participação de não controladores na adquirida. Para cada combinação de negócios, a adquirente deve mensurar a participação de não controladores na adquirida pelo valor justo ou com base na sua participação nos ativos líquidos identificados na adquirida. Custos diretamente atribuíveis à aquisição são contabilizados</w:t>
      </w:r>
      <w:r w:rsidR="00865907" w:rsidRPr="00F05A7A">
        <w:rPr>
          <w:rFonts w:ascii="Arial" w:hAnsi="Arial" w:cs="Arial"/>
        </w:rPr>
        <w:t xml:space="preserve"> como despesa quando incorridos</w:t>
      </w:r>
      <w:r w:rsidRPr="00F05A7A">
        <w:rPr>
          <w:rFonts w:ascii="Arial" w:hAnsi="Arial" w:cs="Arial"/>
        </w:rPr>
        <w:t xml:space="preserve"> (NOTAS EXPLICATIVAS</w:t>
      </w:r>
      <w:r w:rsidR="00951B6F" w:rsidRPr="00F05A7A">
        <w:rPr>
          <w:rFonts w:ascii="Arial" w:hAnsi="Arial" w:cs="Arial"/>
        </w:rPr>
        <w:t xml:space="preserve"> BRF S.A.</w:t>
      </w:r>
      <w:r w:rsidRPr="00F05A7A">
        <w:rPr>
          <w:rFonts w:ascii="Arial" w:hAnsi="Arial" w:cs="Arial"/>
        </w:rPr>
        <w:t>, 2016, p. 8).</w:t>
      </w:r>
    </w:p>
    <w:p w14:paraId="4192F3DF" w14:textId="45666081" w:rsidR="00BF27C3" w:rsidRPr="00F05A7A" w:rsidRDefault="00BF27C3" w:rsidP="00F05A7A">
      <w:pPr>
        <w:spacing w:after="0" w:line="240" w:lineRule="auto"/>
        <w:ind w:left="2268"/>
        <w:contextualSpacing/>
        <w:jc w:val="both"/>
        <w:rPr>
          <w:rFonts w:ascii="Arial" w:hAnsi="Arial" w:cs="Arial"/>
          <w:sz w:val="20"/>
          <w:szCs w:val="20"/>
        </w:rPr>
      </w:pPr>
    </w:p>
    <w:p w14:paraId="2CA7F4B2" w14:textId="484594CB" w:rsidR="00BA72B6" w:rsidRPr="00F05A7A" w:rsidRDefault="00BF27C3"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Ainda, os ativos e passivos de operações descontinuadas e mantidos para vendas são mensurados de acordo com o menor valor, entre o valor justo e o valor contábil.</w:t>
      </w:r>
      <w:r w:rsidR="00D01FA2" w:rsidRPr="00F05A7A">
        <w:rPr>
          <w:rFonts w:ascii="Arial" w:hAnsi="Arial" w:cs="Arial"/>
          <w:sz w:val="24"/>
          <w:szCs w:val="24"/>
        </w:rPr>
        <w:t xml:space="preserve"> </w:t>
      </w:r>
    </w:p>
    <w:p w14:paraId="212FDAF2" w14:textId="77777777" w:rsidR="00BA72B6" w:rsidRPr="00F05A7A" w:rsidRDefault="00BA72B6"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De acordo com o item 11, Ativos Biológicos, tem-se que:</w:t>
      </w:r>
    </w:p>
    <w:p w14:paraId="7678A0BC" w14:textId="77777777" w:rsidR="00D53341" w:rsidRPr="00F05A7A" w:rsidRDefault="00D53341" w:rsidP="00F05A7A">
      <w:pPr>
        <w:spacing w:after="0" w:line="240" w:lineRule="auto"/>
        <w:ind w:left="2268"/>
        <w:contextualSpacing/>
        <w:jc w:val="both"/>
        <w:rPr>
          <w:rFonts w:ascii="Arial" w:hAnsi="Arial" w:cs="Arial"/>
          <w:sz w:val="20"/>
          <w:szCs w:val="20"/>
        </w:rPr>
      </w:pPr>
    </w:p>
    <w:p w14:paraId="6EFEB0AA" w14:textId="30315AA0" w:rsidR="00BA72B6" w:rsidRPr="00F05A7A" w:rsidRDefault="00BA72B6" w:rsidP="00F05A7A">
      <w:pPr>
        <w:spacing w:after="0" w:line="240" w:lineRule="auto"/>
        <w:ind w:left="2268"/>
        <w:contextualSpacing/>
        <w:jc w:val="both"/>
        <w:rPr>
          <w:rFonts w:ascii="Arial" w:hAnsi="Arial" w:cs="Arial"/>
        </w:rPr>
      </w:pPr>
      <w:r w:rsidRPr="00F05A7A">
        <w:rPr>
          <w:rFonts w:ascii="Arial" w:hAnsi="Arial" w:cs="Arial"/>
        </w:rPr>
        <w:t>O valor justo das florestas é determinado por meio de dados não observáveis, utilizando as melhores práticas disponíveis nas circunstâncias de avaliação, portanto são classificados na categoria de valor justo de Nível 3, conforme previs</w:t>
      </w:r>
      <w:r w:rsidR="00865907" w:rsidRPr="00F05A7A">
        <w:rPr>
          <w:rFonts w:ascii="Arial" w:hAnsi="Arial" w:cs="Arial"/>
        </w:rPr>
        <w:t>to na Deliberação CVM nº 699/12</w:t>
      </w:r>
      <w:r w:rsidRPr="00F05A7A">
        <w:rPr>
          <w:rFonts w:ascii="Arial" w:hAnsi="Arial" w:cs="Arial"/>
        </w:rPr>
        <w:t xml:space="preserve"> (NOTAS EXPLICATIVAS BRF S.A., 2016, p. 55)</w:t>
      </w:r>
    </w:p>
    <w:p w14:paraId="42072EEE" w14:textId="77777777" w:rsidR="005A1BBF" w:rsidRPr="00F05A7A" w:rsidRDefault="005A1BBF" w:rsidP="00F05A7A">
      <w:pPr>
        <w:spacing w:after="0" w:line="240" w:lineRule="auto"/>
        <w:ind w:firstLine="567"/>
        <w:contextualSpacing/>
        <w:jc w:val="both"/>
        <w:rPr>
          <w:rFonts w:ascii="Arial" w:hAnsi="Arial" w:cs="Arial"/>
          <w:sz w:val="24"/>
          <w:szCs w:val="24"/>
        </w:rPr>
      </w:pPr>
    </w:p>
    <w:p w14:paraId="7CB0A532" w14:textId="4A2329CB" w:rsidR="0071228A" w:rsidRPr="00F05A7A" w:rsidRDefault="00BF27C3"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As variações positivas </w:t>
      </w:r>
      <w:r w:rsidR="00BA72B6" w:rsidRPr="00F05A7A">
        <w:rPr>
          <w:rFonts w:ascii="Arial" w:hAnsi="Arial" w:cs="Arial"/>
          <w:sz w:val="24"/>
          <w:szCs w:val="24"/>
        </w:rPr>
        <w:t xml:space="preserve">advindas de </w:t>
      </w:r>
      <w:r w:rsidRPr="00F05A7A">
        <w:rPr>
          <w:rFonts w:ascii="Arial" w:hAnsi="Arial" w:cs="Arial"/>
          <w:sz w:val="24"/>
          <w:szCs w:val="24"/>
        </w:rPr>
        <w:t xml:space="preserve">valor justo </w:t>
      </w:r>
      <w:r w:rsidR="00BA72B6" w:rsidRPr="00F05A7A">
        <w:rPr>
          <w:rFonts w:ascii="Arial" w:hAnsi="Arial" w:cs="Arial"/>
          <w:sz w:val="24"/>
          <w:szCs w:val="24"/>
        </w:rPr>
        <w:t xml:space="preserve">de operações financeiras </w:t>
      </w:r>
      <w:r w:rsidRPr="00F05A7A">
        <w:rPr>
          <w:rFonts w:ascii="Arial" w:hAnsi="Arial" w:cs="Arial"/>
          <w:sz w:val="24"/>
          <w:szCs w:val="24"/>
        </w:rPr>
        <w:t>são registradas como receita finance</w:t>
      </w:r>
      <w:r w:rsidR="00D01FA2" w:rsidRPr="00F05A7A">
        <w:rPr>
          <w:rFonts w:ascii="Arial" w:hAnsi="Arial" w:cs="Arial"/>
          <w:sz w:val="24"/>
          <w:szCs w:val="24"/>
        </w:rPr>
        <w:t>ira, de acordo com o item 3.25</w:t>
      </w:r>
      <w:r w:rsidR="00BA72B6" w:rsidRPr="00F05A7A">
        <w:rPr>
          <w:rFonts w:ascii="Arial" w:hAnsi="Arial" w:cs="Arial"/>
          <w:sz w:val="24"/>
          <w:szCs w:val="24"/>
        </w:rPr>
        <w:t>.</w:t>
      </w:r>
    </w:p>
    <w:p w14:paraId="4897EFED" w14:textId="6DA42DC7" w:rsidR="00951B6F" w:rsidRPr="00F05A7A" w:rsidRDefault="00951B6F"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Vê-se que a aplicação do ajuste a valor justo é seguida a rigor pela empresa, estando aplicada a inúmeras operações que ocorrem na companhia, desde ativos biológicos até aplicações financeiras e instrumentos financeiros. É possível notar que até mesmo movimentações não amparadas pelo CPC 46 – Mensuração do Valor Justo, e sim por CPC específico, como o caso dos benefícios para empregados, amparado pelo CPC 33 – Benefícios a Empregados, são mensurados pelo valor justo, no entanto, seguem as premissas do pronunciamento nº 33 ao invés de seguir as premissas do nº 46.</w:t>
      </w:r>
    </w:p>
    <w:p w14:paraId="4E7D287F" w14:textId="2EB599A5" w:rsidR="001E70B4" w:rsidRPr="00F05A7A" w:rsidRDefault="001E70B4" w:rsidP="00F05A7A">
      <w:pPr>
        <w:spacing w:after="0" w:line="360" w:lineRule="auto"/>
        <w:ind w:firstLine="567"/>
        <w:contextualSpacing/>
        <w:jc w:val="both"/>
        <w:rPr>
          <w:rFonts w:ascii="Arial" w:hAnsi="Arial" w:cs="Arial"/>
          <w:sz w:val="24"/>
          <w:szCs w:val="24"/>
        </w:rPr>
      </w:pPr>
    </w:p>
    <w:p w14:paraId="07D42B7B" w14:textId="7190A665" w:rsidR="001E70B4" w:rsidRPr="00F05A7A" w:rsidRDefault="001E70B4" w:rsidP="00F05A7A">
      <w:pPr>
        <w:pStyle w:val="PargrafodaLista"/>
        <w:numPr>
          <w:ilvl w:val="2"/>
          <w:numId w:val="16"/>
        </w:numPr>
        <w:spacing w:after="0" w:line="360" w:lineRule="auto"/>
        <w:ind w:left="709"/>
        <w:jc w:val="both"/>
        <w:rPr>
          <w:rFonts w:ascii="Arial" w:hAnsi="Arial" w:cs="Arial"/>
          <w:sz w:val="24"/>
          <w:szCs w:val="24"/>
        </w:rPr>
      </w:pPr>
      <w:r w:rsidRPr="00F05A7A">
        <w:rPr>
          <w:rFonts w:ascii="Arial" w:hAnsi="Arial" w:cs="Arial"/>
          <w:sz w:val="24"/>
          <w:szCs w:val="24"/>
        </w:rPr>
        <w:t xml:space="preserve">Ativos e </w:t>
      </w:r>
      <w:r w:rsidR="00865907" w:rsidRPr="00F05A7A">
        <w:rPr>
          <w:rFonts w:ascii="Arial" w:hAnsi="Arial" w:cs="Arial"/>
          <w:sz w:val="24"/>
          <w:szCs w:val="24"/>
        </w:rPr>
        <w:t>passivos contingentes</w:t>
      </w:r>
    </w:p>
    <w:p w14:paraId="0CBB4CF4" w14:textId="77777777" w:rsidR="00D53341" w:rsidRPr="00F05A7A" w:rsidRDefault="00D53341" w:rsidP="00F05A7A">
      <w:pPr>
        <w:spacing w:after="0" w:line="360" w:lineRule="auto"/>
        <w:ind w:firstLine="567"/>
        <w:contextualSpacing/>
        <w:jc w:val="both"/>
        <w:rPr>
          <w:rFonts w:ascii="Arial" w:hAnsi="Arial" w:cs="Arial"/>
          <w:sz w:val="24"/>
          <w:szCs w:val="24"/>
        </w:rPr>
      </w:pPr>
    </w:p>
    <w:p w14:paraId="254B3980" w14:textId="1CAAA2EC" w:rsidR="00BD4A26" w:rsidRPr="00F05A7A" w:rsidRDefault="00BD4A26"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O reconhecimento das provisões </w:t>
      </w:r>
      <w:r w:rsidR="001E70B4" w:rsidRPr="00F05A7A">
        <w:rPr>
          <w:rFonts w:ascii="Arial" w:hAnsi="Arial" w:cs="Arial"/>
          <w:sz w:val="24"/>
          <w:szCs w:val="24"/>
        </w:rPr>
        <w:t>de passivos contingente</w:t>
      </w:r>
      <w:r w:rsidRPr="00F05A7A">
        <w:rPr>
          <w:rFonts w:ascii="Arial" w:hAnsi="Arial" w:cs="Arial"/>
          <w:sz w:val="24"/>
          <w:szCs w:val="24"/>
        </w:rPr>
        <w:t xml:space="preserve">s na empresa é </w:t>
      </w:r>
      <w:r w:rsidR="00A35234" w:rsidRPr="00F05A7A">
        <w:rPr>
          <w:rFonts w:ascii="Arial" w:hAnsi="Arial" w:cs="Arial"/>
          <w:sz w:val="24"/>
          <w:szCs w:val="24"/>
        </w:rPr>
        <w:t>subdividido</w:t>
      </w:r>
      <w:r w:rsidRPr="00F05A7A">
        <w:rPr>
          <w:rFonts w:ascii="Arial" w:hAnsi="Arial" w:cs="Arial"/>
          <w:sz w:val="24"/>
          <w:szCs w:val="24"/>
        </w:rPr>
        <w:t xml:space="preserve"> em contingências tributárias, cíveis, comerciais e outras, e trabalhistas, além de um quarto grupo intitulado passivos contingentes, que não possui informações a respeito de sua composição. Além disso, as provisões são classificadas como perdas prováveis, possíveis e remotas.</w:t>
      </w:r>
      <w:r w:rsidR="001E70B4" w:rsidRPr="00F05A7A">
        <w:rPr>
          <w:rFonts w:ascii="Arial" w:hAnsi="Arial" w:cs="Arial"/>
          <w:sz w:val="24"/>
          <w:szCs w:val="24"/>
        </w:rPr>
        <w:t xml:space="preserve"> Não há menção de reconhecimento de ativos contingentes.</w:t>
      </w:r>
    </w:p>
    <w:p w14:paraId="39064AD7" w14:textId="3A03D386" w:rsidR="00951B6F" w:rsidRPr="00F05A7A" w:rsidRDefault="00951B6F"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lastRenderedPageBreak/>
        <w:t xml:space="preserve">A </w:t>
      </w:r>
      <w:r w:rsidR="00F31F22" w:rsidRPr="00F05A7A">
        <w:rPr>
          <w:rFonts w:ascii="Arial" w:hAnsi="Arial" w:cs="Arial"/>
          <w:sz w:val="24"/>
          <w:szCs w:val="24"/>
        </w:rPr>
        <w:t xml:space="preserve">entidade traz as informações de </w:t>
      </w:r>
      <w:r w:rsidR="00BD18E4" w:rsidRPr="00F05A7A">
        <w:rPr>
          <w:rFonts w:ascii="Arial" w:hAnsi="Arial" w:cs="Arial"/>
          <w:sz w:val="24"/>
          <w:szCs w:val="24"/>
        </w:rPr>
        <w:t xml:space="preserve">provisões de </w:t>
      </w:r>
      <w:r w:rsidR="00F31F22" w:rsidRPr="00F05A7A">
        <w:rPr>
          <w:rFonts w:ascii="Arial" w:hAnsi="Arial" w:cs="Arial"/>
          <w:sz w:val="24"/>
          <w:szCs w:val="24"/>
        </w:rPr>
        <w:t>perdas com contingência, explicando os valores que constam na DRE</w:t>
      </w:r>
      <w:r w:rsidR="00BD4A26" w:rsidRPr="00F05A7A">
        <w:rPr>
          <w:rFonts w:ascii="Arial" w:hAnsi="Arial" w:cs="Arial"/>
          <w:sz w:val="24"/>
          <w:szCs w:val="24"/>
        </w:rPr>
        <w:t>, que são as provisões classificadas como prováveis</w:t>
      </w:r>
      <w:r w:rsidR="00F31F22" w:rsidRPr="00F05A7A">
        <w:rPr>
          <w:rFonts w:ascii="Arial" w:hAnsi="Arial" w:cs="Arial"/>
          <w:sz w:val="24"/>
          <w:szCs w:val="24"/>
        </w:rPr>
        <w:t>, e ainda citando os valores das possíveis. O montante de probabilidade de perda classificado como remota não é citado na nota ex</w:t>
      </w:r>
      <w:r w:rsidR="00BD4A26" w:rsidRPr="00F05A7A">
        <w:rPr>
          <w:rFonts w:ascii="Arial" w:hAnsi="Arial" w:cs="Arial"/>
          <w:sz w:val="24"/>
          <w:szCs w:val="24"/>
        </w:rPr>
        <w:t>plicativa.</w:t>
      </w:r>
    </w:p>
    <w:p w14:paraId="41883B55" w14:textId="77777777" w:rsidR="001E70B4" w:rsidRPr="00F05A7A" w:rsidRDefault="001E70B4"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Na data base de 31 de dezembro de 2016 o maior valor reconhecido de provisões de perdas prováveis com contingências advém de processos trabalhistas, seguido dos processos, e por fim os cíveis, comerciais e outros.</w:t>
      </w:r>
    </w:p>
    <w:p w14:paraId="609D8A53" w14:textId="3C3B609B" w:rsidR="00C9637C" w:rsidRPr="00F05A7A" w:rsidRDefault="001E70B4"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Nota-se também que houve um aumento nos valores dos três grupos se comparado ao ano de 2015, totalizando um aumento de R$ 200.741</w:t>
      </w:r>
      <w:r w:rsidR="002B6B94" w:rsidRPr="00F05A7A">
        <w:rPr>
          <w:rFonts w:ascii="Arial" w:hAnsi="Arial" w:cs="Arial"/>
          <w:sz w:val="24"/>
          <w:szCs w:val="24"/>
        </w:rPr>
        <w:t xml:space="preserve"> milhões</w:t>
      </w:r>
      <w:r w:rsidRPr="00F05A7A">
        <w:rPr>
          <w:rFonts w:ascii="Arial" w:hAnsi="Arial" w:cs="Arial"/>
          <w:sz w:val="24"/>
          <w:szCs w:val="24"/>
        </w:rPr>
        <w:t>, deste valor, 51,1699% se refere a causas trabalhistas, 20,5334% a causas tributárias e 28,2967% a causas cíveis, comerciais e outras.</w:t>
      </w:r>
    </w:p>
    <w:p w14:paraId="4CF5FD97" w14:textId="77777777" w:rsidR="00075B6D" w:rsidRPr="00F05A7A" w:rsidRDefault="00075B6D" w:rsidP="00F05A7A">
      <w:pPr>
        <w:spacing w:after="0" w:line="360" w:lineRule="auto"/>
        <w:ind w:firstLine="567"/>
        <w:contextualSpacing/>
        <w:jc w:val="both"/>
        <w:rPr>
          <w:rFonts w:ascii="Arial" w:hAnsi="Arial" w:cs="Arial"/>
          <w:sz w:val="24"/>
          <w:szCs w:val="24"/>
        </w:rPr>
      </w:pPr>
    </w:p>
    <w:p w14:paraId="007EEF76" w14:textId="10AC8B4F" w:rsidR="009F2AC7" w:rsidRPr="00F05A7A" w:rsidRDefault="000A7C88" w:rsidP="00F05A7A">
      <w:pPr>
        <w:spacing w:after="0" w:line="240" w:lineRule="auto"/>
        <w:contextualSpacing/>
        <w:jc w:val="both"/>
        <w:rPr>
          <w:rFonts w:ascii="Arial" w:hAnsi="Arial" w:cs="Arial"/>
          <w:sz w:val="24"/>
          <w:szCs w:val="20"/>
        </w:rPr>
      </w:pPr>
      <w:r w:rsidRPr="00F05A7A">
        <w:rPr>
          <w:rFonts w:ascii="Arial" w:hAnsi="Arial" w:cs="Arial"/>
          <w:sz w:val="24"/>
          <w:szCs w:val="20"/>
        </w:rPr>
        <w:t>GRÁFICO</w:t>
      </w:r>
      <w:r w:rsidR="009F2AC7" w:rsidRPr="00F05A7A">
        <w:rPr>
          <w:rFonts w:ascii="Arial" w:hAnsi="Arial" w:cs="Arial"/>
          <w:sz w:val="24"/>
          <w:szCs w:val="20"/>
        </w:rPr>
        <w:t xml:space="preserve"> </w:t>
      </w:r>
      <w:r w:rsidR="00843406" w:rsidRPr="00F05A7A">
        <w:rPr>
          <w:rFonts w:ascii="Arial" w:hAnsi="Arial" w:cs="Arial"/>
          <w:sz w:val="24"/>
          <w:szCs w:val="20"/>
        </w:rPr>
        <w:t>3</w:t>
      </w:r>
      <w:r w:rsidR="009F2AC7" w:rsidRPr="00F05A7A">
        <w:rPr>
          <w:rFonts w:ascii="Arial" w:hAnsi="Arial" w:cs="Arial"/>
          <w:sz w:val="24"/>
          <w:szCs w:val="20"/>
        </w:rPr>
        <w:t xml:space="preserve"> – Comparativo de valores de provisões para perdas prováveis com contingência com data base 31/12/2016 e 31/12/2015.</w:t>
      </w:r>
    </w:p>
    <w:p w14:paraId="046EEC5E" w14:textId="10066331" w:rsidR="007077EA" w:rsidRPr="00F05A7A" w:rsidRDefault="007077EA" w:rsidP="00F05A7A">
      <w:pPr>
        <w:spacing w:after="0" w:line="360" w:lineRule="auto"/>
        <w:contextualSpacing/>
        <w:rPr>
          <w:rFonts w:ascii="Arial" w:hAnsi="Arial" w:cs="Arial"/>
          <w:noProof/>
        </w:rPr>
      </w:pPr>
      <w:r w:rsidRPr="00F05A7A">
        <w:rPr>
          <w:rFonts w:ascii="Arial" w:hAnsi="Arial" w:cs="Arial"/>
          <w:noProof/>
          <w:lang w:eastAsia="pt-BR"/>
        </w:rPr>
        <w:drawing>
          <wp:inline distT="0" distB="0" distL="0" distR="0" wp14:anchorId="6017FD7B" wp14:editId="1AE77E1A">
            <wp:extent cx="4572000" cy="1881188"/>
            <wp:effectExtent l="0" t="0" r="0" b="508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C29EA65" w14:textId="59DB484E" w:rsidR="005A1BBF" w:rsidRPr="00F05A7A" w:rsidRDefault="009F2AC7" w:rsidP="00F05A7A">
      <w:pPr>
        <w:spacing w:after="0" w:line="240" w:lineRule="auto"/>
        <w:contextualSpacing/>
        <w:jc w:val="both"/>
        <w:rPr>
          <w:rFonts w:ascii="Arial" w:hAnsi="Arial" w:cs="Arial"/>
          <w:szCs w:val="20"/>
        </w:rPr>
      </w:pPr>
      <w:r w:rsidRPr="00F05A7A">
        <w:rPr>
          <w:rFonts w:ascii="Arial" w:hAnsi="Arial" w:cs="Arial"/>
          <w:szCs w:val="20"/>
        </w:rPr>
        <w:t xml:space="preserve">Fonte: </w:t>
      </w:r>
      <w:r w:rsidR="000A7C88" w:rsidRPr="00F05A7A">
        <w:rPr>
          <w:rFonts w:ascii="Arial" w:hAnsi="Arial" w:cs="Arial"/>
          <w:szCs w:val="20"/>
        </w:rPr>
        <w:t>Dados da pesquisa, 2018.</w:t>
      </w:r>
    </w:p>
    <w:p w14:paraId="79E575A4" w14:textId="77777777" w:rsidR="00E8054C" w:rsidRPr="00F05A7A" w:rsidRDefault="00E8054C" w:rsidP="00F05A7A">
      <w:pPr>
        <w:spacing w:after="0" w:line="360" w:lineRule="auto"/>
        <w:ind w:firstLine="567"/>
        <w:contextualSpacing/>
        <w:jc w:val="both"/>
        <w:rPr>
          <w:rFonts w:ascii="Arial" w:hAnsi="Arial" w:cs="Arial"/>
          <w:sz w:val="24"/>
          <w:szCs w:val="24"/>
        </w:rPr>
      </w:pPr>
    </w:p>
    <w:p w14:paraId="0D5FD38B" w14:textId="26FC9D2C" w:rsidR="00F31F22" w:rsidRPr="00F05A7A" w:rsidRDefault="00CB0C14"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Das causas tributárias</w:t>
      </w:r>
      <w:r w:rsidR="002B6B94" w:rsidRPr="00F05A7A">
        <w:rPr>
          <w:rFonts w:ascii="Arial" w:hAnsi="Arial" w:cs="Arial"/>
          <w:sz w:val="24"/>
          <w:szCs w:val="24"/>
        </w:rPr>
        <w:t xml:space="preserve"> - </w:t>
      </w:r>
      <w:r w:rsidRPr="00F05A7A">
        <w:rPr>
          <w:rFonts w:ascii="Arial" w:hAnsi="Arial" w:cs="Arial"/>
          <w:sz w:val="24"/>
          <w:szCs w:val="24"/>
        </w:rPr>
        <w:t>R$</w:t>
      </w:r>
      <w:r w:rsidRPr="00F05A7A">
        <w:rPr>
          <w:rFonts w:ascii="Arial" w:hAnsi="Arial" w:cs="Arial"/>
        </w:rPr>
        <w:t xml:space="preserve"> </w:t>
      </w:r>
      <w:r w:rsidRPr="00F05A7A">
        <w:rPr>
          <w:rFonts w:ascii="Arial" w:hAnsi="Arial" w:cs="Arial"/>
          <w:sz w:val="24"/>
          <w:szCs w:val="24"/>
        </w:rPr>
        <w:t>281.715</w:t>
      </w:r>
      <w:r w:rsidR="001E70B4" w:rsidRPr="00F05A7A">
        <w:rPr>
          <w:rFonts w:ascii="Arial" w:hAnsi="Arial" w:cs="Arial"/>
          <w:sz w:val="24"/>
          <w:szCs w:val="24"/>
        </w:rPr>
        <w:t xml:space="preserve"> milhões</w:t>
      </w:r>
      <w:r w:rsidR="002B6B94" w:rsidRPr="00F05A7A">
        <w:rPr>
          <w:rFonts w:ascii="Arial" w:hAnsi="Arial" w:cs="Arial"/>
          <w:sz w:val="24"/>
          <w:szCs w:val="24"/>
        </w:rPr>
        <w:t xml:space="preserve"> -, </w:t>
      </w:r>
      <w:r w:rsidRPr="00F05A7A">
        <w:rPr>
          <w:rFonts w:ascii="Arial" w:hAnsi="Arial" w:cs="Arial"/>
          <w:sz w:val="24"/>
          <w:szCs w:val="24"/>
        </w:rPr>
        <w:t xml:space="preserve">segundo </w:t>
      </w:r>
      <w:r w:rsidR="00087E98" w:rsidRPr="00F05A7A">
        <w:rPr>
          <w:rFonts w:ascii="Arial" w:hAnsi="Arial" w:cs="Arial"/>
          <w:sz w:val="24"/>
          <w:szCs w:val="24"/>
        </w:rPr>
        <w:t>o item 27.1.1 das notas explicativas</w:t>
      </w:r>
      <w:r w:rsidRPr="00F05A7A">
        <w:rPr>
          <w:rFonts w:ascii="Arial" w:hAnsi="Arial" w:cs="Arial"/>
          <w:sz w:val="24"/>
          <w:szCs w:val="24"/>
        </w:rPr>
        <w:t>, o valor mais relevante se refere a processos administrativos e judiciais movidos pelo governo, referente ao ICMS, sendo o montante provisionado de R$ 129.127</w:t>
      </w:r>
      <w:r w:rsidR="001E70B4" w:rsidRPr="00F05A7A">
        <w:rPr>
          <w:rFonts w:ascii="Arial" w:hAnsi="Arial" w:cs="Arial"/>
          <w:sz w:val="24"/>
          <w:szCs w:val="24"/>
        </w:rPr>
        <w:t xml:space="preserve"> milhões</w:t>
      </w:r>
      <w:r w:rsidRPr="00F05A7A">
        <w:rPr>
          <w:rFonts w:ascii="Arial" w:hAnsi="Arial" w:cs="Arial"/>
          <w:sz w:val="24"/>
          <w:szCs w:val="24"/>
        </w:rPr>
        <w:t xml:space="preserve"> na data base de 31</w:t>
      </w:r>
      <w:r w:rsidR="002B6B94" w:rsidRPr="00F05A7A">
        <w:rPr>
          <w:rFonts w:ascii="Arial" w:hAnsi="Arial" w:cs="Arial"/>
          <w:sz w:val="24"/>
          <w:szCs w:val="24"/>
        </w:rPr>
        <w:t>/</w:t>
      </w:r>
      <w:r w:rsidRPr="00F05A7A">
        <w:rPr>
          <w:rFonts w:ascii="Arial" w:hAnsi="Arial" w:cs="Arial"/>
          <w:sz w:val="24"/>
          <w:szCs w:val="24"/>
        </w:rPr>
        <w:t>12</w:t>
      </w:r>
      <w:r w:rsidR="002B6B94" w:rsidRPr="00F05A7A">
        <w:rPr>
          <w:rFonts w:ascii="Arial" w:hAnsi="Arial" w:cs="Arial"/>
          <w:sz w:val="24"/>
          <w:szCs w:val="24"/>
        </w:rPr>
        <w:t>/</w:t>
      </w:r>
      <w:r w:rsidRPr="00F05A7A">
        <w:rPr>
          <w:rFonts w:ascii="Arial" w:hAnsi="Arial" w:cs="Arial"/>
          <w:sz w:val="24"/>
          <w:szCs w:val="24"/>
        </w:rPr>
        <w:t>2016.</w:t>
      </w:r>
    </w:p>
    <w:p w14:paraId="0250AEEA" w14:textId="40419EE1" w:rsidR="00CB0C14" w:rsidRPr="00F05A7A" w:rsidRDefault="00CB0C14"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As trabalhistas se referem a ações movidas contra a companhia por colaboradores ou ex-funcionários, bem como Ministério do Trabalho, referente vários assuntos dentro do âmbito trabalhista. Já as cíveis, comerciais e outras incluem ações por perdas e danos, vinculadas a acidentes, re</w:t>
      </w:r>
      <w:r w:rsidR="00087E98" w:rsidRPr="00F05A7A">
        <w:rPr>
          <w:rFonts w:ascii="Arial" w:hAnsi="Arial" w:cs="Arial"/>
          <w:sz w:val="24"/>
          <w:szCs w:val="24"/>
        </w:rPr>
        <w:t>clamações de consumos, e outros, de acordo com os itens 27.1.2 e 27.1.3.</w:t>
      </w:r>
    </w:p>
    <w:p w14:paraId="2415FDB2" w14:textId="719BC713" w:rsidR="00D26B56" w:rsidRPr="00F05A7A" w:rsidRDefault="00087E98"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As provisões para perdas possíveis com contingências, somam um valor de R$13.667.857 </w:t>
      </w:r>
      <w:r w:rsidR="005A1BBF" w:rsidRPr="00F05A7A">
        <w:rPr>
          <w:rFonts w:ascii="Arial" w:hAnsi="Arial" w:cs="Arial"/>
          <w:sz w:val="24"/>
          <w:szCs w:val="24"/>
        </w:rPr>
        <w:t>bilhões</w:t>
      </w:r>
      <w:r w:rsidR="000C7136" w:rsidRPr="00F05A7A">
        <w:rPr>
          <w:rFonts w:ascii="Arial" w:hAnsi="Arial" w:cs="Arial"/>
          <w:sz w:val="24"/>
          <w:szCs w:val="24"/>
        </w:rPr>
        <w:t xml:space="preserve"> </w:t>
      </w:r>
      <w:r w:rsidRPr="00F05A7A">
        <w:rPr>
          <w:rFonts w:ascii="Arial" w:hAnsi="Arial" w:cs="Arial"/>
          <w:sz w:val="24"/>
          <w:szCs w:val="24"/>
        </w:rPr>
        <w:t xml:space="preserve">em 31/12/2016, estas são referenciadas apenas nas notas </w:t>
      </w:r>
      <w:r w:rsidRPr="00F05A7A">
        <w:rPr>
          <w:rFonts w:ascii="Arial" w:hAnsi="Arial" w:cs="Arial"/>
          <w:sz w:val="24"/>
          <w:szCs w:val="24"/>
        </w:rPr>
        <w:lastRenderedPageBreak/>
        <w:t xml:space="preserve">explicativas (Item 27.2), não sendo </w:t>
      </w:r>
      <w:r w:rsidR="000C7136" w:rsidRPr="00F05A7A">
        <w:rPr>
          <w:rFonts w:ascii="Arial" w:hAnsi="Arial" w:cs="Arial"/>
          <w:sz w:val="24"/>
          <w:szCs w:val="24"/>
        </w:rPr>
        <w:t>mensuradas</w:t>
      </w:r>
      <w:r w:rsidR="00D26B56" w:rsidRPr="00F05A7A">
        <w:rPr>
          <w:rFonts w:ascii="Arial" w:hAnsi="Arial" w:cs="Arial"/>
          <w:sz w:val="24"/>
          <w:szCs w:val="24"/>
        </w:rPr>
        <w:t xml:space="preserve"> nos demonstrativos da entidade, conforme estabelece </w:t>
      </w:r>
      <w:r w:rsidR="000C7136" w:rsidRPr="00F05A7A">
        <w:rPr>
          <w:rFonts w:ascii="Arial" w:hAnsi="Arial" w:cs="Arial"/>
          <w:sz w:val="24"/>
          <w:szCs w:val="24"/>
        </w:rPr>
        <w:t>o</w:t>
      </w:r>
      <w:r w:rsidR="00D26B56" w:rsidRPr="00F05A7A">
        <w:rPr>
          <w:rFonts w:ascii="Arial" w:hAnsi="Arial" w:cs="Arial"/>
          <w:sz w:val="24"/>
          <w:szCs w:val="24"/>
        </w:rPr>
        <w:t xml:space="preserve"> CPC 25, que diz que deve ocorrer a provisão dos valores que são classificados como prováveis.</w:t>
      </w:r>
    </w:p>
    <w:p w14:paraId="13B3E109" w14:textId="320F2795" w:rsidR="000C7136" w:rsidRPr="00F05A7A" w:rsidRDefault="000C7136"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Assim como nas causas classificadas como prováveis, há a subdivisão entre trabalhistas, cíveis e tributárias, sendo a última a detentora do maior valor, com estimativa de perda de R$ 11.953.088</w:t>
      </w:r>
      <w:r w:rsidR="005A1BBF" w:rsidRPr="00F05A7A">
        <w:rPr>
          <w:rFonts w:ascii="Arial" w:hAnsi="Arial" w:cs="Arial"/>
          <w:sz w:val="24"/>
          <w:szCs w:val="24"/>
        </w:rPr>
        <w:t xml:space="preserve"> bilhões</w:t>
      </w:r>
      <w:r w:rsidRPr="00F05A7A">
        <w:rPr>
          <w:rFonts w:ascii="Arial" w:hAnsi="Arial" w:cs="Arial"/>
          <w:sz w:val="24"/>
          <w:szCs w:val="24"/>
        </w:rPr>
        <w:t xml:space="preserve">, seguido das causas cíveis com </w:t>
      </w:r>
      <w:r w:rsidR="00495998" w:rsidRPr="00F05A7A">
        <w:rPr>
          <w:rFonts w:ascii="Arial" w:hAnsi="Arial" w:cs="Arial"/>
          <w:sz w:val="24"/>
          <w:szCs w:val="24"/>
        </w:rPr>
        <w:t>R$1.679.847</w:t>
      </w:r>
      <w:r w:rsidR="005A1BBF" w:rsidRPr="00F05A7A">
        <w:rPr>
          <w:rFonts w:ascii="Arial" w:hAnsi="Arial" w:cs="Arial"/>
          <w:sz w:val="24"/>
          <w:szCs w:val="24"/>
        </w:rPr>
        <w:t xml:space="preserve"> bilhão</w:t>
      </w:r>
      <w:r w:rsidR="00495998" w:rsidRPr="00F05A7A">
        <w:rPr>
          <w:rFonts w:ascii="Arial" w:hAnsi="Arial" w:cs="Arial"/>
          <w:sz w:val="24"/>
          <w:szCs w:val="24"/>
        </w:rPr>
        <w:t xml:space="preserve"> e por fim as causas trabalhistas totalizando R$34.922</w:t>
      </w:r>
      <w:r w:rsidR="005A1BBF" w:rsidRPr="00F05A7A">
        <w:rPr>
          <w:rFonts w:ascii="Arial" w:hAnsi="Arial" w:cs="Arial"/>
          <w:sz w:val="24"/>
          <w:szCs w:val="24"/>
        </w:rPr>
        <w:t xml:space="preserve"> milhões</w:t>
      </w:r>
      <w:r w:rsidR="00495998" w:rsidRPr="00F05A7A">
        <w:rPr>
          <w:rFonts w:ascii="Arial" w:hAnsi="Arial" w:cs="Arial"/>
          <w:sz w:val="24"/>
          <w:szCs w:val="24"/>
        </w:rPr>
        <w:t xml:space="preserve"> desta forma, o valor estimado da entidade de possíveis perdas com </w:t>
      </w:r>
      <w:r w:rsidR="00BA115C" w:rsidRPr="00F05A7A">
        <w:rPr>
          <w:rFonts w:ascii="Arial" w:hAnsi="Arial" w:cs="Arial"/>
          <w:sz w:val="24"/>
          <w:szCs w:val="24"/>
        </w:rPr>
        <w:t>contingência</w:t>
      </w:r>
      <w:r w:rsidR="00495998" w:rsidRPr="00F05A7A">
        <w:rPr>
          <w:rFonts w:ascii="Arial" w:hAnsi="Arial" w:cs="Arial"/>
          <w:sz w:val="24"/>
          <w:szCs w:val="24"/>
        </w:rPr>
        <w:t xml:space="preserve"> em 3</w:t>
      </w:r>
      <w:r w:rsidR="005A1BBF" w:rsidRPr="00F05A7A">
        <w:rPr>
          <w:rFonts w:ascii="Arial" w:hAnsi="Arial" w:cs="Arial"/>
          <w:sz w:val="24"/>
          <w:szCs w:val="24"/>
        </w:rPr>
        <w:t>1/12/2016 é de R$ 13.667.857,00 bilhões.</w:t>
      </w:r>
    </w:p>
    <w:p w14:paraId="29499FCE" w14:textId="776F884A" w:rsidR="00796A6D" w:rsidRPr="00F05A7A" w:rsidRDefault="00BA115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No gráfico abaixo é possível notar que a diferença de estimativa de valores classificados como perdas possíveis e prováv</w:t>
      </w:r>
      <w:r w:rsidR="00340726" w:rsidRPr="00F05A7A">
        <w:rPr>
          <w:rFonts w:ascii="Arial" w:hAnsi="Arial" w:cs="Arial"/>
          <w:sz w:val="24"/>
          <w:szCs w:val="24"/>
        </w:rPr>
        <w:t>eis é enorme, sendo as causas tributárias</w:t>
      </w:r>
      <w:r w:rsidRPr="00F05A7A">
        <w:rPr>
          <w:rFonts w:ascii="Arial" w:hAnsi="Arial" w:cs="Arial"/>
          <w:sz w:val="24"/>
          <w:szCs w:val="24"/>
        </w:rPr>
        <w:t xml:space="preserve"> classificadas como perdas possíveis a única categoria a ultrapassar uma estimativa de </w:t>
      </w:r>
      <w:r w:rsidR="00340726" w:rsidRPr="00F05A7A">
        <w:rPr>
          <w:rFonts w:ascii="Arial" w:hAnsi="Arial" w:cs="Arial"/>
          <w:sz w:val="24"/>
          <w:szCs w:val="24"/>
        </w:rPr>
        <w:t>2 bilhões de reais</w:t>
      </w:r>
      <w:r w:rsidRPr="00F05A7A">
        <w:rPr>
          <w:rFonts w:ascii="Arial" w:hAnsi="Arial" w:cs="Arial"/>
          <w:sz w:val="24"/>
          <w:szCs w:val="24"/>
        </w:rPr>
        <w:t>, em ambas as datas analisadas. No entanto, a variação anual de cada categoria é menor do que a diferença entre as classes, gerando uma média de aumento de 43,61</w:t>
      </w:r>
      <w:r w:rsidR="005A1BBF" w:rsidRPr="00F05A7A">
        <w:rPr>
          <w:rFonts w:ascii="Arial" w:hAnsi="Arial" w:cs="Arial"/>
          <w:sz w:val="24"/>
          <w:szCs w:val="24"/>
        </w:rPr>
        <w:t>%</w:t>
      </w:r>
      <w:r w:rsidRPr="00F05A7A">
        <w:rPr>
          <w:rFonts w:ascii="Arial" w:hAnsi="Arial" w:cs="Arial"/>
          <w:sz w:val="24"/>
          <w:szCs w:val="24"/>
        </w:rPr>
        <w:t xml:space="preserve"> para as classificadas como prováveis e 18,37% para as classificadas como possíveis. É importante ressaltar que, dos seis grupos analisados</w:t>
      </w:r>
      <w:r w:rsidR="00796A6D" w:rsidRPr="00F05A7A">
        <w:rPr>
          <w:rFonts w:ascii="Arial" w:hAnsi="Arial" w:cs="Arial"/>
          <w:sz w:val="24"/>
          <w:szCs w:val="24"/>
        </w:rPr>
        <w:t>, o único que obteve diminuição de estimativa do valor de 2015 para 2016 foi a estimativa de perdas trabalhistas classificadas como perdas possíveis, os outros cinco obtiveram um aumento no valor de suas estimativas, se comparado ao ano anterior.</w:t>
      </w:r>
    </w:p>
    <w:p w14:paraId="67133F1F" w14:textId="77777777" w:rsidR="00843406" w:rsidRPr="00F05A7A" w:rsidRDefault="00843406" w:rsidP="00F05A7A">
      <w:pPr>
        <w:spacing w:after="0" w:line="360" w:lineRule="auto"/>
        <w:ind w:firstLine="567"/>
        <w:contextualSpacing/>
        <w:jc w:val="both"/>
        <w:rPr>
          <w:rFonts w:ascii="Arial" w:hAnsi="Arial" w:cs="Arial"/>
          <w:sz w:val="20"/>
          <w:szCs w:val="20"/>
        </w:rPr>
      </w:pPr>
    </w:p>
    <w:p w14:paraId="434EF3B8" w14:textId="53A8F458" w:rsidR="00BA115C" w:rsidRPr="00F05A7A" w:rsidRDefault="00F05A7A" w:rsidP="00F05A7A">
      <w:pPr>
        <w:spacing w:after="0" w:line="240" w:lineRule="auto"/>
        <w:contextualSpacing/>
        <w:jc w:val="both"/>
        <w:rPr>
          <w:rFonts w:ascii="Arial" w:hAnsi="Arial" w:cs="Arial"/>
          <w:noProof/>
          <w:sz w:val="28"/>
        </w:rPr>
      </w:pPr>
      <w:r w:rsidRPr="00F05A7A">
        <w:rPr>
          <w:rFonts w:ascii="Arial" w:hAnsi="Arial" w:cs="Arial"/>
          <w:sz w:val="24"/>
          <w:szCs w:val="20"/>
        </w:rPr>
        <w:t>GRÁFICO</w:t>
      </w:r>
      <w:r w:rsidR="00BA115C" w:rsidRPr="00F05A7A">
        <w:rPr>
          <w:rFonts w:ascii="Arial" w:hAnsi="Arial" w:cs="Arial"/>
          <w:sz w:val="24"/>
          <w:szCs w:val="20"/>
        </w:rPr>
        <w:t xml:space="preserve"> </w:t>
      </w:r>
      <w:r w:rsidR="00843406" w:rsidRPr="00F05A7A">
        <w:rPr>
          <w:rFonts w:ascii="Arial" w:hAnsi="Arial" w:cs="Arial"/>
          <w:sz w:val="24"/>
          <w:szCs w:val="20"/>
        </w:rPr>
        <w:t>4</w:t>
      </w:r>
      <w:r w:rsidR="00BA115C" w:rsidRPr="00F05A7A">
        <w:rPr>
          <w:rFonts w:ascii="Arial" w:hAnsi="Arial" w:cs="Arial"/>
          <w:sz w:val="24"/>
          <w:szCs w:val="20"/>
        </w:rPr>
        <w:t xml:space="preserve"> – Comparativo entre estimativas de perdas com contingências possíveis e prováveis data base 31/12/2015 e 31/12/2016</w:t>
      </w:r>
      <w:r w:rsidR="00796A6D" w:rsidRPr="00F05A7A">
        <w:rPr>
          <w:rFonts w:ascii="Arial" w:hAnsi="Arial" w:cs="Arial"/>
          <w:sz w:val="24"/>
          <w:szCs w:val="20"/>
        </w:rPr>
        <w:t xml:space="preserve"> da empresa BRF S.A.</w:t>
      </w:r>
    </w:p>
    <w:p w14:paraId="46E8C49E" w14:textId="4D086AE9" w:rsidR="00BA115C" w:rsidRPr="00F05A7A" w:rsidRDefault="00C9623E" w:rsidP="00F05A7A">
      <w:pPr>
        <w:spacing w:after="0" w:line="360" w:lineRule="auto"/>
        <w:contextualSpacing/>
        <w:rPr>
          <w:rFonts w:ascii="Arial" w:hAnsi="Arial" w:cs="Arial"/>
          <w:sz w:val="20"/>
          <w:szCs w:val="20"/>
        </w:rPr>
      </w:pPr>
      <w:r w:rsidRPr="00F05A7A">
        <w:rPr>
          <w:rFonts w:ascii="Arial" w:hAnsi="Arial" w:cs="Arial"/>
          <w:noProof/>
          <w:lang w:eastAsia="pt-BR"/>
        </w:rPr>
        <w:drawing>
          <wp:inline distT="0" distB="0" distL="0" distR="0" wp14:anchorId="56FA4788" wp14:editId="4D65ECB1">
            <wp:extent cx="4410075" cy="1952625"/>
            <wp:effectExtent l="0" t="0" r="9525"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DFD908" w14:textId="77777777" w:rsidR="00F05A7A" w:rsidRPr="00F05A7A" w:rsidRDefault="00F05A7A" w:rsidP="00F05A7A">
      <w:pPr>
        <w:spacing w:after="0" w:line="240" w:lineRule="auto"/>
        <w:contextualSpacing/>
        <w:jc w:val="both"/>
        <w:rPr>
          <w:rFonts w:ascii="Arial" w:hAnsi="Arial" w:cs="Arial"/>
          <w:szCs w:val="20"/>
        </w:rPr>
      </w:pPr>
      <w:r w:rsidRPr="00F05A7A">
        <w:rPr>
          <w:rFonts w:ascii="Arial" w:hAnsi="Arial" w:cs="Arial"/>
          <w:szCs w:val="20"/>
        </w:rPr>
        <w:t>Fonte: Dados da pesquisa, 2018.</w:t>
      </w:r>
    </w:p>
    <w:p w14:paraId="72DF02B8" w14:textId="77777777" w:rsidR="00E8054C" w:rsidRPr="00F05A7A" w:rsidRDefault="00E8054C" w:rsidP="00F05A7A">
      <w:pPr>
        <w:spacing w:after="0" w:line="360" w:lineRule="auto"/>
        <w:ind w:firstLine="567"/>
        <w:contextualSpacing/>
        <w:jc w:val="both"/>
        <w:rPr>
          <w:rFonts w:ascii="Arial" w:hAnsi="Arial" w:cs="Arial"/>
          <w:sz w:val="24"/>
          <w:szCs w:val="24"/>
        </w:rPr>
      </w:pPr>
    </w:p>
    <w:p w14:paraId="7198C1AD" w14:textId="1175547C" w:rsidR="00F31F22" w:rsidRPr="00F05A7A" w:rsidRDefault="00796A6D"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 xml:space="preserve">A única menção que a companhia faz a causas com probabilidade de perda remota é a respeito do caso Huaine, onde a </w:t>
      </w:r>
      <w:r w:rsidR="00340726" w:rsidRPr="00F05A7A">
        <w:rPr>
          <w:rFonts w:ascii="Arial" w:hAnsi="Arial" w:cs="Arial"/>
          <w:sz w:val="24"/>
          <w:szCs w:val="24"/>
        </w:rPr>
        <w:t>entidade</w:t>
      </w:r>
      <w:r w:rsidRPr="00F05A7A">
        <w:rPr>
          <w:rFonts w:ascii="Arial" w:hAnsi="Arial" w:cs="Arial"/>
          <w:sz w:val="24"/>
          <w:szCs w:val="24"/>
        </w:rPr>
        <w:t xml:space="preserve"> foi incluída como responsável </w:t>
      </w:r>
      <w:r w:rsidRPr="00F05A7A">
        <w:rPr>
          <w:rFonts w:ascii="Arial" w:hAnsi="Arial" w:cs="Arial"/>
          <w:sz w:val="24"/>
          <w:szCs w:val="24"/>
        </w:rPr>
        <w:lastRenderedPageBreak/>
        <w:t xml:space="preserve">pela dívida tributária da empresa </w:t>
      </w:r>
      <w:r w:rsidR="00A35234" w:rsidRPr="00F05A7A">
        <w:rPr>
          <w:rFonts w:ascii="Arial" w:hAnsi="Arial" w:cs="Arial"/>
          <w:sz w:val="24"/>
          <w:szCs w:val="24"/>
        </w:rPr>
        <w:t>Huaine</w:t>
      </w:r>
      <w:r w:rsidRPr="00F05A7A">
        <w:rPr>
          <w:rFonts w:ascii="Arial" w:hAnsi="Arial" w:cs="Arial"/>
          <w:sz w:val="24"/>
          <w:szCs w:val="24"/>
        </w:rPr>
        <w:t xml:space="preserve"> Participações LTDA, ex-controladora da Perdigão. Segundo o documento (Item 27.2.1) a administração da entidade julgou prudente a divulgação da informação, mesmo a probabilidade de perda do valor estimado (R$642.796</w:t>
      </w:r>
      <w:r w:rsidR="005A1BBF" w:rsidRPr="00F05A7A">
        <w:rPr>
          <w:rFonts w:ascii="Arial" w:hAnsi="Arial" w:cs="Arial"/>
          <w:sz w:val="24"/>
          <w:szCs w:val="24"/>
        </w:rPr>
        <w:t xml:space="preserve"> milhões</w:t>
      </w:r>
      <w:r w:rsidRPr="00F05A7A">
        <w:rPr>
          <w:rFonts w:ascii="Arial" w:hAnsi="Arial" w:cs="Arial"/>
          <w:sz w:val="24"/>
          <w:szCs w:val="24"/>
        </w:rPr>
        <w:t>) se</w:t>
      </w:r>
      <w:r w:rsidR="00A77C8E" w:rsidRPr="00F05A7A">
        <w:rPr>
          <w:rFonts w:ascii="Arial" w:hAnsi="Arial" w:cs="Arial"/>
          <w:sz w:val="24"/>
          <w:szCs w:val="24"/>
        </w:rPr>
        <w:t>ndo</w:t>
      </w:r>
      <w:r w:rsidRPr="00F05A7A">
        <w:rPr>
          <w:rFonts w:ascii="Arial" w:hAnsi="Arial" w:cs="Arial"/>
          <w:sz w:val="24"/>
          <w:szCs w:val="24"/>
        </w:rPr>
        <w:t xml:space="preserve"> remota. </w:t>
      </w:r>
    </w:p>
    <w:p w14:paraId="0883DB79" w14:textId="77777777" w:rsidR="00D53341" w:rsidRPr="00F05A7A" w:rsidRDefault="00D53341" w:rsidP="00F05A7A">
      <w:pPr>
        <w:spacing w:after="0" w:line="360" w:lineRule="auto"/>
        <w:ind w:firstLine="567"/>
        <w:contextualSpacing/>
        <w:jc w:val="both"/>
        <w:rPr>
          <w:rFonts w:ascii="Arial" w:hAnsi="Arial" w:cs="Arial"/>
          <w:sz w:val="24"/>
          <w:szCs w:val="24"/>
        </w:rPr>
      </w:pPr>
    </w:p>
    <w:p w14:paraId="52D821E7" w14:textId="10796C83" w:rsidR="001E70B4" w:rsidRPr="00F05A7A" w:rsidRDefault="00F05A7A" w:rsidP="00F05A7A">
      <w:pPr>
        <w:pStyle w:val="PargrafodaLista"/>
        <w:numPr>
          <w:ilvl w:val="2"/>
          <w:numId w:val="16"/>
        </w:numPr>
        <w:spacing w:after="0" w:line="360" w:lineRule="auto"/>
        <w:ind w:left="851"/>
        <w:jc w:val="both"/>
        <w:rPr>
          <w:rFonts w:ascii="Arial" w:hAnsi="Arial" w:cs="Arial"/>
          <w:sz w:val="24"/>
          <w:szCs w:val="24"/>
        </w:rPr>
      </w:pPr>
      <w:r w:rsidRPr="00F05A7A">
        <w:rPr>
          <w:rFonts w:ascii="Arial" w:hAnsi="Arial" w:cs="Arial"/>
          <w:sz w:val="24"/>
          <w:szCs w:val="24"/>
        </w:rPr>
        <w:t>Recuperabilidade dos a</w:t>
      </w:r>
      <w:r w:rsidR="001E70B4" w:rsidRPr="00F05A7A">
        <w:rPr>
          <w:rFonts w:ascii="Arial" w:hAnsi="Arial" w:cs="Arial"/>
          <w:sz w:val="24"/>
          <w:szCs w:val="24"/>
        </w:rPr>
        <w:t xml:space="preserve">tivos </w:t>
      </w:r>
    </w:p>
    <w:p w14:paraId="45877897" w14:textId="77777777" w:rsidR="00D53341" w:rsidRPr="00F05A7A" w:rsidRDefault="00D53341" w:rsidP="00F05A7A">
      <w:pPr>
        <w:spacing w:after="0" w:line="360" w:lineRule="auto"/>
        <w:ind w:firstLine="567"/>
        <w:contextualSpacing/>
        <w:jc w:val="both"/>
        <w:rPr>
          <w:rFonts w:ascii="Arial" w:hAnsi="Arial" w:cs="Arial"/>
          <w:sz w:val="24"/>
          <w:szCs w:val="24"/>
        </w:rPr>
      </w:pPr>
    </w:p>
    <w:p w14:paraId="0069533F" w14:textId="5545EC37" w:rsidR="00A77C8E" w:rsidRPr="00F05A7A" w:rsidRDefault="001E70B4" w:rsidP="00F05A7A">
      <w:pPr>
        <w:spacing w:after="0" w:line="360" w:lineRule="auto"/>
        <w:ind w:firstLine="708"/>
        <w:contextualSpacing/>
        <w:jc w:val="both"/>
        <w:rPr>
          <w:rFonts w:ascii="Arial" w:hAnsi="Arial" w:cs="Arial"/>
          <w:sz w:val="24"/>
          <w:szCs w:val="24"/>
        </w:rPr>
      </w:pPr>
      <w:r w:rsidRPr="00F05A7A">
        <w:rPr>
          <w:rFonts w:ascii="Arial" w:hAnsi="Arial" w:cs="Arial"/>
          <w:sz w:val="24"/>
          <w:szCs w:val="24"/>
        </w:rPr>
        <w:t>A</w:t>
      </w:r>
      <w:r w:rsidR="00A77C8E" w:rsidRPr="00F05A7A">
        <w:rPr>
          <w:rFonts w:ascii="Arial" w:hAnsi="Arial" w:cs="Arial"/>
          <w:sz w:val="24"/>
          <w:szCs w:val="24"/>
        </w:rPr>
        <w:t xml:space="preserve"> entidade abordou o cálculo de recuperabilidade</w:t>
      </w:r>
      <w:r w:rsidR="00503315" w:rsidRPr="00F05A7A">
        <w:rPr>
          <w:rFonts w:ascii="Arial" w:hAnsi="Arial" w:cs="Arial"/>
          <w:sz w:val="24"/>
          <w:szCs w:val="24"/>
        </w:rPr>
        <w:t xml:space="preserve"> </w:t>
      </w:r>
      <w:r w:rsidR="00A77C8E" w:rsidRPr="00F05A7A">
        <w:rPr>
          <w:rFonts w:ascii="Arial" w:hAnsi="Arial" w:cs="Arial"/>
          <w:sz w:val="24"/>
          <w:szCs w:val="24"/>
        </w:rPr>
        <w:t>para os seus ativos imobilizados</w:t>
      </w:r>
      <w:r w:rsidR="00503315" w:rsidRPr="00F05A7A">
        <w:rPr>
          <w:rFonts w:ascii="Arial" w:hAnsi="Arial" w:cs="Arial"/>
          <w:sz w:val="24"/>
          <w:szCs w:val="24"/>
        </w:rPr>
        <w:t>,</w:t>
      </w:r>
      <w:r w:rsidR="00A77C8E" w:rsidRPr="00F05A7A">
        <w:rPr>
          <w:rFonts w:ascii="Arial" w:hAnsi="Arial" w:cs="Arial"/>
          <w:sz w:val="24"/>
          <w:szCs w:val="24"/>
        </w:rPr>
        <w:t xml:space="preserve"> intangíveis</w:t>
      </w:r>
      <w:r w:rsidR="00503315" w:rsidRPr="00F05A7A">
        <w:rPr>
          <w:rFonts w:ascii="Arial" w:hAnsi="Arial" w:cs="Arial"/>
          <w:sz w:val="24"/>
          <w:szCs w:val="24"/>
        </w:rPr>
        <w:t xml:space="preserve"> e impostos, </w:t>
      </w:r>
      <w:r w:rsidR="00A77C8E" w:rsidRPr="00F05A7A">
        <w:rPr>
          <w:rFonts w:ascii="Arial" w:hAnsi="Arial" w:cs="Arial"/>
          <w:sz w:val="24"/>
          <w:szCs w:val="24"/>
        </w:rPr>
        <w:t xml:space="preserve">bem como o cálculo </w:t>
      </w:r>
      <w:r w:rsidR="00331116" w:rsidRPr="00F05A7A">
        <w:rPr>
          <w:rFonts w:ascii="Arial" w:hAnsi="Arial" w:cs="Arial"/>
          <w:sz w:val="24"/>
          <w:szCs w:val="24"/>
        </w:rPr>
        <w:t xml:space="preserve">nos </w:t>
      </w:r>
      <w:r w:rsidR="00C9623E" w:rsidRPr="00F05A7A">
        <w:rPr>
          <w:rFonts w:ascii="Arial" w:hAnsi="Arial" w:cs="Arial"/>
          <w:sz w:val="24"/>
          <w:szCs w:val="24"/>
        </w:rPr>
        <w:t>recebíveis (PCLD</w:t>
      </w:r>
      <w:r w:rsidR="00075B6D" w:rsidRPr="00F05A7A">
        <w:rPr>
          <w:rFonts w:ascii="Arial" w:hAnsi="Arial" w:cs="Arial"/>
          <w:sz w:val="24"/>
          <w:szCs w:val="24"/>
        </w:rPr>
        <w:t>). De</w:t>
      </w:r>
      <w:r w:rsidR="00A77C8E" w:rsidRPr="00F05A7A">
        <w:rPr>
          <w:rFonts w:ascii="Arial" w:hAnsi="Arial" w:cs="Arial"/>
          <w:sz w:val="24"/>
          <w:szCs w:val="24"/>
        </w:rPr>
        <w:t xml:space="preserve"> acordo com o item 3.13 das notas explicativas, a entidade não reconheceu valores de </w:t>
      </w:r>
      <w:r w:rsidR="00333203" w:rsidRPr="00F05A7A">
        <w:rPr>
          <w:rFonts w:ascii="Arial" w:hAnsi="Arial" w:cs="Arial"/>
          <w:sz w:val="24"/>
          <w:szCs w:val="24"/>
        </w:rPr>
        <w:t xml:space="preserve">perdas decorrentes de teste de </w:t>
      </w:r>
      <w:r w:rsidR="00333203" w:rsidRPr="00F05A7A">
        <w:rPr>
          <w:rFonts w:ascii="Arial" w:hAnsi="Arial" w:cs="Arial"/>
          <w:i/>
          <w:sz w:val="24"/>
          <w:szCs w:val="24"/>
        </w:rPr>
        <w:t>I</w:t>
      </w:r>
      <w:r w:rsidR="00A77C8E" w:rsidRPr="00F05A7A">
        <w:rPr>
          <w:rFonts w:ascii="Arial" w:hAnsi="Arial" w:cs="Arial"/>
          <w:i/>
          <w:sz w:val="24"/>
          <w:szCs w:val="24"/>
        </w:rPr>
        <w:t>mpairment</w:t>
      </w:r>
      <w:r w:rsidR="00CE5E2B" w:rsidRPr="00F05A7A">
        <w:rPr>
          <w:rFonts w:ascii="Arial" w:hAnsi="Arial" w:cs="Arial"/>
          <w:i/>
          <w:sz w:val="24"/>
          <w:szCs w:val="24"/>
        </w:rPr>
        <w:t xml:space="preserve"> </w:t>
      </w:r>
      <w:r w:rsidR="00340726" w:rsidRPr="00F05A7A">
        <w:rPr>
          <w:rFonts w:ascii="Arial" w:hAnsi="Arial" w:cs="Arial"/>
          <w:sz w:val="24"/>
          <w:szCs w:val="24"/>
        </w:rPr>
        <w:t xml:space="preserve">no ativo imobilizado </w:t>
      </w:r>
      <w:r w:rsidR="00CE5E2B" w:rsidRPr="00F05A7A">
        <w:rPr>
          <w:rFonts w:ascii="Arial" w:hAnsi="Arial" w:cs="Arial"/>
          <w:sz w:val="24"/>
          <w:szCs w:val="24"/>
        </w:rPr>
        <w:t>na data base de 31/12/2016.</w:t>
      </w:r>
    </w:p>
    <w:p w14:paraId="792A0534" w14:textId="77777777" w:rsidR="00D53341" w:rsidRPr="00F05A7A" w:rsidRDefault="00D53341" w:rsidP="00F05A7A">
      <w:pPr>
        <w:spacing w:after="0" w:line="240" w:lineRule="auto"/>
        <w:ind w:left="2268"/>
        <w:contextualSpacing/>
        <w:jc w:val="both"/>
        <w:rPr>
          <w:rFonts w:ascii="Arial" w:hAnsi="Arial" w:cs="Arial"/>
          <w:sz w:val="20"/>
          <w:szCs w:val="20"/>
        </w:rPr>
      </w:pPr>
    </w:p>
    <w:p w14:paraId="66BC93B6" w14:textId="164574F1" w:rsidR="00CE5E2B" w:rsidRPr="00F05A7A" w:rsidRDefault="00CE5E2B" w:rsidP="00F05A7A">
      <w:pPr>
        <w:spacing w:after="0" w:line="240" w:lineRule="auto"/>
        <w:ind w:left="2268"/>
        <w:contextualSpacing/>
        <w:jc w:val="both"/>
        <w:rPr>
          <w:rFonts w:ascii="Arial" w:hAnsi="Arial" w:cs="Arial"/>
        </w:rPr>
      </w:pPr>
      <w:r w:rsidRPr="00F05A7A">
        <w:rPr>
          <w:rFonts w:ascii="Arial" w:hAnsi="Arial" w:cs="Arial"/>
        </w:rPr>
        <w:t xml:space="preserve">A Companhia realiza anualmente a análise de indícios de perda no valor recuperável do ativo imobilizado em conjunto com a análise de recuperação de ágio. A recuperação dos investimentos no ativo imobilizado foi testada em 2016 não sendo identificados ajustes para refletir perda no valor recuperável. A realização do teste envolveu a adoção de premissas e julgamentos, conforme divulgado na nota 19. De acordo com a Deliberação CVM no. 639/10, a provisão para perda ao valor recuperável do ativo imobilizado, somente é reconhecida se a unidade geradora de caixa à qual o ativo está relacionado sofrer perda por desvalorização. Essa condição também se aplica mesmo se o valor justo líquido de despesas de venda do ativo for </w:t>
      </w:r>
      <w:r w:rsidR="00F05A7A" w:rsidRPr="00F05A7A">
        <w:rPr>
          <w:rFonts w:ascii="Arial" w:hAnsi="Arial" w:cs="Arial"/>
        </w:rPr>
        <w:t>menor do que seu valor contábil</w:t>
      </w:r>
      <w:r w:rsidRPr="00F05A7A">
        <w:rPr>
          <w:rFonts w:ascii="Arial" w:hAnsi="Arial" w:cs="Arial"/>
        </w:rPr>
        <w:t xml:space="preserve"> (NOTAS EXPLICATIVAS BRF S.A., 2016, p. 12).</w:t>
      </w:r>
    </w:p>
    <w:p w14:paraId="2B8D0403" w14:textId="77777777" w:rsidR="001E70B4" w:rsidRPr="00F05A7A" w:rsidRDefault="001E70B4" w:rsidP="00F05A7A">
      <w:pPr>
        <w:spacing w:after="0" w:line="240" w:lineRule="auto"/>
        <w:ind w:left="2268"/>
        <w:contextualSpacing/>
        <w:jc w:val="both"/>
        <w:rPr>
          <w:rFonts w:ascii="Arial" w:hAnsi="Arial" w:cs="Arial"/>
          <w:sz w:val="20"/>
          <w:szCs w:val="20"/>
        </w:rPr>
      </w:pPr>
    </w:p>
    <w:p w14:paraId="6EDE2016" w14:textId="77777777" w:rsidR="00471C42" w:rsidRPr="00F05A7A" w:rsidRDefault="00503315"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Da mesma forma ocorreu com os ativos intangíveis, onde, de acordo com os cálculos efetuados pela administração da empresa, a redução do valor dos intangíveis não se fez necessária</w:t>
      </w:r>
      <w:r w:rsidR="009A3BCA" w:rsidRPr="00F05A7A">
        <w:rPr>
          <w:rFonts w:ascii="Arial" w:hAnsi="Arial" w:cs="Arial"/>
          <w:sz w:val="24"/>
          <w:szCs w:val="24"/>
        </w:rPr>
        <w:t xml:space="preserve">, bem como para todos os ativos e passivos submetidos ao cálculo de recuperabilidade. </w:t>
      </w:r>
    </w:p>
    <w:p w14:paraId="00984834" w14:textId="5A81E60D" w:rsidR="00C9623E" w:rsidRPr="00F05A7A" w:rsidRDefault="00C9623E"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O único registro encontrado de diminuição dos valores de ativos em decorrência do cálculo é o PCLD – Perda Estimativa para Crédito de Liquidação Duvidosa</w:t>
      </w:r>
      <w:r w:rsidR="0030792A" w:rsidRPr="00F05A7A">
        <w:rPr>
          <w:rFonts w:ascii="Arial" w:hAnsi="Arial" w:cs="Arial"/>
          <w:sz w:val="24"/>
          <w:szCs w:val="24"/>
        </w:rPr>
        <w:t>, que totalizou uma redução de R$ 438.681 milhões no ativo da companhia.</w:t>
      </w:r>
    </w:p>
    <w:p w14:paraId="5A360E20" w14:textId="77777777" w:rsidR="00075B6D" w:rsidRPr="00F05A7A" w:rsidRDefault="00075B6D" w:rsidP="00F05A7A">
      <w:pPr>
        <w:spacing w:after="0" w:line="360" w:lineRule="auto"/>
        <w:ind w:firstLine="567"/>
        <w:contextualSpacing/>
        <w:jc w:val="both"/>
        <w:rPr>
          <w:rFonts w:ascii="Arial" w:hAnsi="Arial" w:cs="Arial"/>
          <w:sz w:val="24"/>
          <w:szCs w:val="24"/>
        </w:rPr>
      </w:pPr>
    </w:p>
    <w:p w14:paraId="224E0FD8" w14:textId="77777777" w:rsidR="00CA7187" w:rsidRPr="00F05A7A" w:rsidRDefault="00EF4E0C" w:rsidP="00F05A7A">
      <w:pPr>
        <w:pStyle w:val="PargrafodaLista"/>
        <w:numPr>
          <w:ilvl w:val="0"/>
          <w:numId w:val="16"/>
        </w:numPr>
        <w:spacing w:after="0" w:line="360" w:lineRule="auto"/>
        <w:jc w:val="both"/>
        <w:rPr>
          <w:rFonts w:ascii="Arial" w:hAnsi="Arial" w:cs="Arial"/>
          <w:sz w:val="24"/>
          <w:szCs w:val="24"/>
        </w:rPr>
      </w:pPr>
      <w:r w:rsidRPr="00F05A7A">
        <w:rPr>
          <w:rFonts w:ascii="Arial" w:hAnsi="Arial" w:cs="Arial"/>
          <w:sz w:val="24"/>
          <w:szCs w:val="24"/>
        </w:rPr>
        <w:t xml:space="preserve">CONSIDERAÇÕES FINAIS </w:t>
      </w:r>
    </w:p>
    <w:p w14:paraId="27C29488" w14:textId="77777777" w:rsidR="00A876CC" w:rsidRPr="00F05A7A" w:rsidRDefault="00A876CC" w:rsidP="00F05A7A">
      <w:pPr>
        <w:pStyle w:val="PargrafodaLista"/>
        <w:spacing w:after="0" w:line="360" w:lineRule="auto"/>
        <w:ind w:left="357"/>
        <w:jc w:val="both"/>
        <w:rPr>
          <w:rFonts w:ascii="Arial" w:hAnsi="Arial" w:cs="Arial"/>
          <w:sz w:val="24"/>
          <w:szCs w:val="24"/>
        </w:rPr>
      </w:pPr>
    </w:p>
    <w:p w14:paraId="1BDDC1A9" w14:textId="03B5BE0F" w:rsidR="008D377C" w:rsidRPr="00F05A7A" w:rsidRDefault="00B07644"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Este artigo teve como objetivo principal</w:t>
      </w:r>
      <w:r w:rsidR="006B14A7" w:rsidRPr="00F05A7A">
        <w:rPr>
          <w:rFonts w:ascii="Arial" w:hAnsi="Arial" w:cs="Arial"/>
          <w:sz w:val="24"/>
          <w:szCs w:val="24"/>
        </w:rPr>
        <w:t xml:space="preserve"> </w:t>
      </w:r>
      <w:r w:rsidR="008D377C" w:rsidRPr="00F05A7A">
        <w:rPr>
          <w:rFonts w:ascii="Arial" w:hAnsi="Arial" w:cs="Arial"/>
          <w:sz w:val="24"/>
          <w:szCs w:val="24"/>
        </w:rPr>
        <w:t xml:space="preserve">verificar se a empresa BRF S.A está aderindo as normas internacionais, emitida pelos </w:t>
      </w:r>
      <w:r w:rsidR="00A35234" w:rsidRPr="00F05A7A">
        <w:rPr>
          <w:rFonts w:ascii="Arial" w:hAnsi="Arial" w:cs="Arial"/>
          <w:sz w:val="24"/>
          <w:szCs w:val="24"/>
        </w:rPr>
        <w:t>CPC’s</w:t>
      </w:r>
      <w:r w:rsidR="008D377C" w:rsidRPr="00F05A7A">
        <w:rPr>
          <w:rFonts w:ascii="Arial" w:hAnsi="Arial" w:cs="Arial"/>
          <w:sz w:val="24"/>
          <w:szCs w:val="24"/>
        </w:rPr>
        <w:t xml:space="preserve">, sob o aspecto da contabilidade societária. Já os objetivos específicos foram identificar as novas </w:t>
      </w:r>
      <w:r w:rsidR="008D377C" w:rsidRPr="00F05A7A">
        <w:rPr>
          <w:rFonts w:ascii="Arial" w:hAnsi="Arial" w:cs="Arial"/>
          <w:sz w:val="24"/>
          <w:szCs w:val="24"/>
        </w:rPr>
        <w:lastRenderedPageBreak/>
        <w:t xml:space="preserve">obrigações trazidas pela convergência à contabilidade internacional; verificar se as novas normas que envolvem a contabilidade societária, são evidenciadas nas demonstrações contábeis da empresa pesquisada, e, por fim, verificar se as demonstrações contábeis da companhia analisada satisfazem as necessidades do usuário quanto ao bom entendimento da situação da empresa, seja ele brasileiro ou estrangeiro, que é o objetivo da harmonização contábil. </w:t>
      </w:r>
    </w:p>
    <w:p w14:paraId="2D79A224" w14:textId="255B3362" w:rsidR="003D7537" w:rsidRPr="00F05A7A" w:rsidRDefault="003D7537"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Para encontrar respostas às problemáticas </w:t>
      </w:r>
      <w:r w:rsidR="005A7A46" w:rsidRPr="00F05A7A">
        <w:rPr>
          <w:rFonts w:ascii="Arial" w:hAnsi="Arial" w:cs="Arial"/>
          <w:sz w:val="24"/>
          <w:szCs w:val="24"/>
        </w:rPr>
        <w:t xml:space="preserve">acima citadas, foi realizada </w:t>
      </w:r>
      <w:r w:rsidRPr="00F05A7A">
        <w:rPr>
          <w:rFonts w:ascii="Arial" w:hAnsi="Arial" w:cs="Arial"/>
          <w:sz w:val="24"/>
          <w:szCs w:val="24"/>
        </w:rPr>
        <w:t>primeiramente uma pesquisa te</w:t>
      </w:r>
      <w:r w:rsidR="005A7A46" w:rsidRPr="00F05A7A">
        <w:rPr>
          <w:rFonts w:ascii="Arial" w:hAnsi="Arial" w:cs="Arial"/>
          <w:sz w:val="24"/>
          <w:szCs w:val="24"/>
        </w:rPr>
        <w:t>órica para houvesse</w:t>
      </w:r>
      <w:r w:rsidRPr="00F05A7A">
        <w:rPr>
          <w:rFonts w:ascii="Arial" w:hAnsi="Arial" w:cs="Arial"/>
          <w:sz w:val="24"/>
          <w:szCs w:val="24"/>
        </w:rPr>
        <w:t xml:space="preserve"> um embas</w:t>
      </w:r>
      <w:r w:rsidR="00F974BF" w:rsidRPr="00F05A7A">
        <w:rPr>
          <w:rFonts w:ascii="Arial" w:hAnsi="Arial" w:cs="Arial"/>
          <w:sz w:val="24"/>
          <w:szCs w:val="24"/>
        </w:rPr>
        <w:t>amento e uma explicação sobre quais sãs as normas internacionais aplicadas no Brasil, e ao ramo da entidade analisada, e como deve ocorrer a sua evidenciação</w:t>
      </w:r>
      <w:r w:rsidR="005A7A46" w:rsidRPr="00F05A7A">
        <w:rPr>
          <w:rFonts w:ascii="Arial" w:hAnsi="Arial" w:cs="Arial"/>
          <w:sz w:val="24"/>
          <w:szCs w:val="24"/>
        </w:rPr>
        <w:t xml:space="preserve"> </w:t>
      </w:r>
      <w:r w:rsidR="00F974BF" w:rsidRPr="00F05A7A">
        <w:rPr>
          <w:rFonts w:ascii="Arial" w:hAnsi="Arial" w:cs="Arial"/>
          <w:sz w:val="24"/>
          <w:szCs w:val="24"/>
        </w:rPr>
        <w:t>n</w:t>
      </w:r>
      <w:r w:rsidRPr="00F05A7A">
        <w:rPr>
          <w:rFonts w:ascii="Arial" w:hAnsi="Arial" w:cs="Arial"/>
          <w:sz w:val="24"/>
          <w:szCs w:val="24"/>
        </w:rPr>
        <w:t xml:space="preserve">as demonstrações contábeis e </w:t>
      </w:r>
      <w:r w:rsidR="005A7A46" w:rsidRPr="00F05A7A">
        <w:rPr>
          <w:rFonts w:ascii="Arial" w:hAnsi="Arial" w:cs="Arial"/>
          <w:sz w:val="24"/>
          <w:szCs w:val="24"/>
        </w:rPr>
        <w:t>a importância de sua apresentação para os usuários das informações contábeis</w:t>
      </w:r>
      <w:r w:rsidRPr="00F05A7A">
        <w:rPr>
          <w:rFonts w:ascii="Arial" w:hAnsi="Arial" w:cs="Arial"/>
          <w:sz w:val="24"/>
          <w:szCs w:val="24"/>
        </w:rPr>
        <w:t>. Tendo feito isso, foram analisadas e est</w:t>
      </w:r>
      <w:r w:rsidR="006B14A7" w:rsidRPr="00F05A7A">
        <w:rPr>
          <w:rFonts w:ascii="Arial" w:hAnsi="Arial" w:cs="Arial"/>
          <w:sz w:val="24"/>
          <w:szCs w:val="24"/>
        </w:rPr>
        <w:t>udadas as demonstrações padroni</w:t>
      </w:r>
      <w:r w:rsidR="00F974BF" w:rsidRPr="00F05A7A">
        <w:rPr>
          <w:rFonts w:ascii="Arial" w:hAnsi="Arial" w:cs="Arial"/>
          <w:sz w:val="24"/>
          <w:szCs w:val="24"/>
        </w:rPr>
        <w:t>z</w:t>
      </w:r>
      <w:r w:rsidRPr="00F05A7A">
        <w:rPr>
          <w:rFonts w:ascii="Arial" w:hAnsi="Arial" w:cs="Arial"/>
          <w:sz w:val="24"/>
          <w:szCs w:val="24"/>
        </w:rPr>
        <w:t>adas consolidadas da empresa BRF S</w:t>
      </w:r>
      <w:r w:rsidR="00B056B1" w:rsidRPr="00F05A7A">
        <w:rPr>
          <w:rFonts w:ascii="Arial" w:hAnsi="Arial" w:cs="Arial"/>
          <w:sz w:val="24"/>
          <w:szCs w:val="24"/>
        </w:rPr>
        <w:t>.</w:t>
      </w:r>
      <w:r w:rsidRPr="00F05A7A">
        <w:rPr>
          <w:rFonts w:ascii="Arial" w:hAnsi="Arial" w:cs="Arial"/>
          <w:sz w:val="24"/>
          <w:szCs w:val="24"/>
        </w:rPr>
        <w:t>A</w:t>
      </w:r>
      <w:r w:rsidR="00B056B1" w:rsidRPr="00F05A7A">
        <w:rPr>
          <w:rFonts w:ascii="Arial" w:hAnsi="Arial" w:cs="Arial"/>
          <w:sz w:val="24"/>
          <w:szCs w:val="24"/>
        </w:rPr>
        <w:t>.</w:t>
      </w:r>
      <w:r w:rsidRPr="00F05A7A">
        <w:rPr>
          <w:rFonts w:ascii="Arial" w:hAnsi="Arial" w:cs="Arial"/>
          <w:sz w:val="24"/>
          <w:szCs w:val="24"/>
        </w:rPr>
        <w:t xml:space="preserve"> – </w:t>
      </w:r>
      <w:r w:rsidR="005A7A46" w:rsidRPr="00F05A7A">
        <w:rPr>
          <w:rFonts w:ascii="Arial" w:hAnsi="Arial" w:cs="Arial"/>
          <w:sz w:val="24"/>
          <w:szCs w:val="24"/>
        </w:rPr>
        <w:t>objeto</w:t>
      </w:r>
      <w:r w:rsidRPr="00F05A7A">
        <w:rPr>
          <w:rFonts w:ascii="Arial" w:hAnsi="Arial" w:cs="Arial"/>
          <w:sz w:val="24"/>
          <w:szCs w:val="24"/>
        </w:rPr>
        <w:t xml:space="preserve"> de estudo para este artigo - </w:t>
      </w:r>
      <w:r w:rsidR="00F974BF" w:rsidRPr="00F05A7A">
        <w:rPr>
          <w:rFonts w:ascii="Arial" w:hAnsi="Arial" w:cs="Arial"/>
          <w:sz w:val="24"/>
          <w:szCs w:val="24"/>
        </w:rPr>
        <w:t xml:space="preserve"> com data base de 31/12/2016,</w:t>
      </w:r>
      <w:r w:rsidRPr="00F05A7A">
        <w:rPr>
          <w:rFonts w:ascii="Arial" w:hAnsi="Arial" w:cs="Arial"/>
          <w:sz w:val="24"/>
          <w:szCs w:val="24"/>
        </w:rPr>
        <w:t xml:space="preserve"> disponíveis no site da </w:t>
      </w:r>
      <w:r w:rsidR="00DA08A8" w:rsidRPr="00F05A7A">
        <w:rPr>
          <w:rFonts w:ascii="Arial" w:hAnsi="Arial" w:cs="Arial"/>
          <w:sz w:val="24"/>
          <w:szCs w:val="24"/>
        </w:rPr>
        <w:t>B3</w:t>
      </w:r>
      <w:r w:rsidRPr="00F05A7A">
        <w:rPr>
          <w:rFonts w:ascii="Arial" w:hAnsi="Arial" w:cs="Arial"/>
          <w:sz w:val="24"/>
          <w:szCs w:val="24"/>
        </w:rPr>
        <w:t>.</w:t>
      </w:r>
    </w:p>
    <w:p w14:paraId="039212E5" w14:textId="228293CC" w:rsidR="005A7A46" w:rsidRPr="00F05A7A" w:rsidRDefault="00CA7187"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Após análise detalhada dos demonstrativos e relatórios citados neste artigo, é possível concluir que</w:t>
      </w:r>
      <w:r w:rsidR="003D7537" w:rsidRPr="00F05A7A">
        <w:rPr>
          <w:rFonts w:ascii="Arial" w:hAnsi="Arial" w:cs="Arial"/>
          <w:sz w:val="24"/>
          <w:szCs w:val="24"/>
        </w:rPr>
        <w:t xml:space="preserve"> </w:t>
      </w:r>
      <w:r w:rsidR="00F974BF" w:rsidRPr="00F05A7A">
        <w:rPr>
          <w:rFonts w:ascii="Arial" w:hAnsi="Arial" w:cs="Arial"/>
          <w:sz w:val="24"/>
          <w:szCs w:val="24"/>
        </w:rPr>
        <w:t>a empresa está de acordo com a legislação brasileira vigente, pois apresentou em suas notas explicativas os valores calculados de ajuste a valor presente, valor justo, e provisões de contingência, bem como, evidenciou quais grupos do ativ</w:t>
      </w:r>
      <w:r w:rsidR="00333203" w:rsidRPr="00F05A7A">
        <w:rPr>
          <w:rFonts w:ascii="Arial" w:hAnsi="Arial" w:cs="Arial"/>
          <w:sz w:val="24"/>
          <w:szCs w:val="24"/>
        </w:rPr>
        <w:t>o foram submetidos ao teste de I</w:t>
      </w:r>
      <w:r w:rsidR="00F974BF" w:rsidRPr="00F05A7A">
        <w:rPr>
          <w:rFonts w:ascii="Arial" w:hAnsi="Arial" w:cs="Arial"/>
          <w:sz w:val="24"/>
          <w:szCs w:val="24"/>
        </w:rPr>
        <w:t>mpairment, e ressalvou que não houve mensuração de valores, pois o cálculo apontou para a não necessidade de redução dos montantes reconhecidos na data base. Houve citação ainda, dos valores mensurados nas reservas de lucro e para a distribuição de dividendos, que não ocorreu no ano de 2016 pois a empresa obteve um resultado negativo.</w:t>
      </w:r>
    </w:p>
    <w:p w14:paraId="46B3E36F" w14:textId="48609859" w:rsidR="00F974BF" w:rsidRPr="00F05A7A" w:rsidRDefault="00265D11"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 xml:space="preserve">É importante ressaltar que, se no ano de 2016 a empresa não houvesse feito o reconhecimento dos valores de ajuste a valor presente, ou ainda, das provisões de contingência, possivelmente ela teria obtido um resultado satisfatório, </w:t>
      </w:r>
      <w:r w:rsidR="00A35234" w:rsidRPr="00F05A7A">
        <w:rPr>
          <w:rFonts w:ascii="Arial" w:hAnsi="Arial" w:cs="Arial"/>
          <w:sz w:val="24"/>
          <w:szCs w:val="24"/>
        </w:rPr>
        <w:t>ou</w:t>
      </w:r>
      <w:r w:rsidRPr="00F05A7A">
        <w:rPr>
          <w:rFonts w:ascii="Arial" w:hAnsi="Arial" w:cs="Arial"/>
          <w:sz w:val="24"/>
          <w:szCs w:val="24"/>
        </w:rPr>
        <w:t xml:space="preserve"> seja, lucro no período. Isso se deve ao fato de que, somente o valor de provisão de perdas prováveis para contingências é maior do que o valor de prejuízo apurado no período.</w:t>
      </w:r>
    </w:p>
    <w:p w14:paraId="0A382EDC" w14:textId="4CEA7365" w:rsidR="00265D11" w:rsidRPr="00F05A7A" w:rsidRDefault="00265D11"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Ao primeiro olhar, para a empresa seria interessante que estes valores não fossem reconhecidos, assim, a empresa teria registrado em seu DRE um resultado positivo, no entanto, este valor seria um valor precipitado, pois, a transparência da situação da empresa ficaria comprometida, e assim, os investidores poderiam ser prejudicados na análise de viabilidade de investimento na empresa.</w:t>
      </w:r>
    </w:p>
    <w:p w14:paraId="17823A6A" w14:textId="77777777" w:rsidR="00333203" w:rsidRPr="00F05A7A" w:rsidRDefault="00333203"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lastRenderedPageBreak/>
        <w:t>No relatório de auditoria, feito pela empresa Ernest &amp; Young Auditores Independentes S.S., responsáveis pela auditoria externa obrigatória, não houve nenhum valor equivocado, ou que não foi calculado, e que as demonstrações da companhia estão de acordo com as normas propostas pelos pronunciamentos técnicos e normas internacionais.</w:t>
      </w:r>
    </w:p>
    <w:p w14:paraId="15EB877A" w14:textId="4104F934" w:rsidR="00021184" w:rsidRPr="00F05A7A" w:rsidRDefault="00021184" w:rsidP="00F05A7A">
      <w:pPr>
        <w:spacing w:after="0" w:line="360" w:lineRule="auto"/>
        <w:ind w:firstLine="709"/>
        <w:contextualSpacing/>
        <w:jc w:val="both"/>
        <w:rPr>
          <w:rFonts w:ascii="Arial" w:hAnsi="Arial" w:cs="Arial"/>
          <w:sz w:val="24"/>
          <w:szCs w:val="24"/>
        </w:rPr>
      </w:pPr>
      <w:bookmarkStart w:id="1" w:name="_GoBack"/>
      <w:bookmarkEnd w:id="1"/>
      <w:r w:rsidRPr="00F05A7A">
        <w:rPr>
          <w:rFonts w:ascii="Arial" w:hAnsi="Arial" w:cs="Arial"/>
          <w:sz w:val="24"/>
          <w:szCs w:val="24"/>
        </w:rPr>
        <w:t>Desta forma, conclui-se que a empresa apresenta de forma satisfatória informações</w:t>
      </w:r>
      <w:r w:rsidR="00265D11" w:rsidRPr="00F05A7A">
        <w:rPr>
          <w:rFonts w:ascii="Arial" w:hAnsi="Arial" w:cs="Arial"/>
          <w:sz w:val="24"/>
          <w:szCs w:val="24"/>
        </w:rPr>
        <w:t xml:space="preserve"> sobre a aplicação das normas internacionais na contabilidade da entidade</w:t>
      </w:r>
      <w:r w:rsidRPr="00F05A7A">
        <w:rPr>
          <w:rFonts w:ascii="Arial" w:hAnsi="Arial" w:cs="Arial"/>
          <w:sz w:val="24"/>
          <w:szCs w:val="24"/>
        </w:rPr>
        <w:t xml:space="preserve">, </w:t>
      </w:r>
      <w:r w:rsidR="00265D11" w:rsidRPr="00F05A7A">
        <w:rPr>
          <w:rFonts w:ascii="Arial" w:hAnsi="Arial" w:cs="Arial"/>
          <w:sz w:val="24"/>
          <w:szCs w:val="24"/>
        </w:rPr>
        <w:t xml:space="preserve">bem como </w:t>
      </w:r>
      <w:r w:rsidRPr="00F05A7A">
        <w:rPr>
          <w:rFonts w:ascii="Arial" w:hAnsi="Arial" w:cs="Arial"/>
          <w:sz w:val="24"/>
          <w:szCs w:val="24"/>
        </w:rPr>
        <w:t xml:space="preserve">buscou explicar </w:t>
      </w:r>
      <w:r w:rsidR="00265D11" w:rsidRPr="00F05A7A">
        <w:rPr>
          <w:rFonts w:ascii="Arial" w:hAnsi="Arial" w:cs="Arial"/>
          <w:sz w:val="24"/>
          <w:szCs w:val="24"/>
        </w:rPr>
        <w:t>os motivos da aplicabilidade da regra a realidade da empresa</w:t>
      </w:r>
      <w:r w:rsidRPr="00F05A7A">
        <w:rPr>
          <w:rFonts w:ascii="Arial" w:hAnsi="Arial" w:cs="Arial"/>
          <w:sz w:val="24"/>
          <w:szCs w:val="24"/>
        </w:rPr>
        <w:t>. Satisfazendo assim, os usuários das informações contábeis desta empresa, seja este usuário uma instituição financeira, um acionista, o governo ou outros interessa</w:t>
      </w:r>
      <w:r w:rsidR="00265D11" w:rsidRPr="00F05A7A">
        <w:rPr>
          <w:rFonts w:ascii="Arial" w:hAnsi="Arial" w:cs="Arial"/>
          <w:sz w:val="24"/>
          <w:szCs w:val="24"/>
        </w:rPr>
        <w:t>dos nos resultados da companhia, brasileiros ou estrangeiros.</w:t>
      </w:r>
    </w:p>
    <w:p w14:paraId="01BB1E32" w14:textId="2E73F724" w:rsidR="006D0A65" w:rsidRPr="00F05A7A" w:rsidRDefault="00114F0C" w:rsidP="00F05A7A">
      <w:pPr>
        <w:spacing w:after="0" w:line="360" w:lineRule="auto"/>
        <w:ind w:firstLine="709"/>
        <w:contextualSpacing/>
        <w:jc w:val="both"/>
        <w:rPr>
          <w:rFonts w:ascii="Arial" w:hAnsi="Arial" w:cs="Arial"/>
          <w:sz w:val="24"/>
          <w:szCs w:val="24"/>
        </w:rPr>
      </w:pPr>
      <w:r w:rsidRPr="00F05A7A">
        <w:rPr>
          <w:rFonts w:ascii="Arial" w:hAnsi="Arial" w:cs="Arial"/>
          <w:sz w:val="24"/>
          <w:szCs w:val="24"/>
        </w:rPr>
        <w:t>Para estudo futuro</w:t>
      </w:r>
      <w:r w:rsidR="00A01529" w:rsidRPr="00F05A7A">
        <w:rPr>
          <w:rFonts w:ascii="Arial" w:hAnsi="Arial" w:cs="Arial"/>
          <w:sz w:val="24"/>
          <w:szCs w:val="24"/>
        </w:rPr>
        <w:t>, de forma mais aprofundada</w:t>
      </w:r>
      <w:r w:rsidR="00021184" w:rsidRPr="00F05A7A">
        <w:rPr>
          <w:rFonts w:ascii="Arial" w:hAnsi="Arial" w:cs="Arial"/>
          <w:sz w:val="24"/>
          <w:szCs w:val="24"/>
        </w:rPr>
        <w:t xml:space="preserve">, tem-se a seguinte problemática: </w:t>
      </w:r>
      <w:r w:rsidR="00A01529" w:rsidRPr="00F05A7A">
        <w:rPr>
          <w:rFonts w:ascii="Arial" w:hAnsi="Arial" w:cs="Arial"/>
          <w:sz w:val="24"/>
          <w:szCs w:val="24"/>
        </w:rPr>
        <w:t>Quais são os maiores valores de contingência reconhecido pela a empresa e p</w:t>
      </w:r>
      <w:r w:rsidR="00265D11" w:rsidRPr="00F05A7A">
        <w:rPr>
          <w:rFonts w:ascii="Arial" w:hAnsi="Arial" w:cs="Arial"/>
          <w:sz w:val="24"/>
          <w:szCs w:val="24"/>
        </w:rPr>
        <w:t>or qual motivo a empresa apresenta valores tão elevados de provisõe</w:t>
      </w:r>
      <w:r w:rsidR="00A01529" w:rsidRPr="00F05A7A">
        <w:rPr>
          <w:rFonts w:ascii="Arial" w:hAnsi="Arial" w:cs="Arial"/>
          <w:sz w:val="24"/>
          <w:szCs w:val="24"/>
        </w:rPr>
        <w:t>s para contingência, bem como, se houve aumento nos valores de provisões para contingência decorrentes de processos contra a empresa, devido a deflagração da operação carne fraca, no primeiro semestre de 2017.</w:t>
      </w:r>
    </w:p>
    <w:p w14:paraId="31DCF6B2" w14:textId="77777777" w:rsidR="00340726" w:rsidRPr="00F05A7A" w:rsidRDefault="00340726" w:rsidP="00F05A7A">
      <w:pPr>
        <w:spacing w:after="0" w:line="360" w:lineRule="auto"/>
        <w:ind w:firstLine="709"/>
        <w:contextualSpacing/>
        <w:jc w:val="both"/>
        <w:rPr>
          <w:rFonts w:ascii="Arial" w:hAnsi="Arial" w:cs="Arial"/>
          <w:sz w:val="24"/>
          <w:szCs w:val="24"/>
        </w:rPr>
      </w:pPr>
    </w:p>
    <w:p w14:paraId="700CBC18" w14:textId="77777777" w:rsidR="00333203" w:rsidRPr="00F05A7A" w:rsidRDefault="00333203" w:rsidP="00F05A7A">
      <w:pPr>
        <w:spacing w:after="0" w:line="240" w:lineRule="auto"/>
        <w:contextualSpacing/>
        <w:rPr>
          <w:rFonts w:ascii="Arial" w:hAnsi="Arial" w:cs="Arial"/>
          <w:sz w:val="24"/>
          <w:szCs w:val="24"/>
          <w:lang w:val="en-US"/>
        </w:rPr>
      </w:pPr>
      <w:r w:rsidRPr="00F05A7A">
        <w:rPr>
          <w:rFonts w:ascii="Arial" w:hAnsi="Arial" w:cs="Arial"/>
          <w:sz w:val="24"/>
          <w:szCs w:val="24"/>
          <w:lang w:val="en-US"/>
        </w:rPr>
        <w:t>REFERÊNCIAS</w:t>
      </w:r>
    </w:p>
    <w:p w14:paraId="3398D1AA" w14:textId="77777777" w:rsidR="00333203" w:rsidRPr="00F05A7A" w:rsidRDefault="00333203" w:rsidP="00F05A7A">
      <w:pPr>
        <w:spacing w:after="0" w:line="240" w:lineRule="auto"/>
        <w:contextualSpacing/>
        <w:rPr>
          <w:rFonts w:ascii="Arial" w:hAnsi="Arial" w:cs="Arial"/>
          <w:sz w:val="24"/>
          <w:szCs w:val="24"/>
          <w:lang w:val="en-US"/>
        </w:rPr>
      </w:pPr>
    </w:p>
    <w:p w14:paraId="6D4BF802" w14:textId="761EE9DB" w:rsidR="00333203" w:rsidRPr="00F05A7A" w:rsidRDefault="009D0157" w:rsidP="00F05A7A">
      <w:pPr>
        <w:spacing w:after="0" w:line="240" w:lineRule="auto"/>
        <w:contextualSpacing/>
        <w:rPr>
          <w:rFonts w:ascii="Arial" w:hAnsi="Arial" w:cs="Arial"/>
          <w:sz w:val="24"/>
          <w:szCs w:val="24"/>
          <w:lang w:val="en-US"/>
        </w:rPr>
      </w:pPr>
      <w:r w:rsidRPr="00F05A7A">
        <w:rPr>
          <w:rFonts w:ascii="Arial" w:hAnsi="Arial" w:cs="Arial"/>
          <w:sz w:val="24"/>
          <w:szCs w:val="24"/>
          <w:lang w:val="en-US"/>
        </w:rPr>
        <w:t xml:space="preserve">ALI, Muhammad Jahangir. A Synthesis of Empirical Research on International Accounting Harmonization and Compliance with International Financial Reporting Standards. In: Journal of Accounting Literature, 24. Jg., S. 1-52. (2005). </w:t>
      </w:r>
    </w:p>
    <w:p w14:paraId="167663E2" w14:textId="3C7DBD18" w:rsidR="00333203" w:rsidRPr="00F05A7A" w:rsidRDefault="00333203" w:rsidP="00F05A7A">
      <w:pPr>
        <w:spacing w:after="0" w:line="240" w:lineRule="auto"/>
        <w:contextualSpacing/>
        <w:rPr>
          <w:rFonts w:ascii="Arial" w:hAnsi="Arial" w:cs="Arial"/>
          <w:sz w:val="24"/>
          <w:szCs w:val="24"/>
        </w:rPr>
      </w:pPr>
      <w:r w:rsidRPr="00F05A7A">
        <w:rPr>
          <w:rFonts w:ascii="Arial" w:hAnsi="Arial" w:cs="Arial"/>
          <w:sz w:val="24"/>
          <w:szCs w:val="24"/>
          <w:lang w:val="en-US"/>
        </w:rPr>
        <w:t xml:space="preserve">AZEVEDO, </w:t>
      </w:r>
      <w:r w:rsidR="009D0157" w:rsidRPr="00F05A7A">
        <w:rPr>
          <w:rFonts w:ascii="Arial" w:hAnsi="Arial" w:cs="Arial"/>
          <w:sz w:val="24"/>
          <w:szCs w:val="24"/>
          <w:lang w:val="en-US"/>
        </w:rPr>
        <w:t>O. Reis</w:t>
      </w:r>
      <w:r w:rsidRPr="00F05A7A">
        <w:rPr>
          <w:rFonts w:ascii="Arial" w:hAnsi="Arial" w:cs="Arial"/>
          <w:sz w:val="24"/>
          <w:szCs w:val="24"/>
          <w:lang w:val="en-US"/>
        </w:rPr>
        <w:t xml:space="preserve">. </w:t>
      </w:r>
      <w:r w:rsidRPr="00F05A7A">
        <w:rPr>
          <w:rFonts w:ascii="Arial" w:hAnsi="Arial" w:cs="Arial"/>
          <w:sz w:val="24"/>
          <w:szCs w:val="24"/>
        </w:rPr>
        <w:t>Comentários às novas regras contábeis brasileiras. 5. ed. São Paulo, IOB, 2010.</w:t>
      </w:r>
    </w:p>
    <w:p w14:paraId="3F1D6384" w14:textId="77777777" w:rsidR="00471C42" w:rsidRPr="00F05A7A" w:rsidRDefault="00471C42" w:rsidP="00F05A7A">
      <w:pPr>
        <w:spacing w:after="0" w:line="240" w:lineRule="auto"/>
        <w:contextualSpacing/>
        <w:rPr>
          <w:rFonts w:ascii="Arial" w:hAnsi="Arial" w:cs="Arial"/>
          <w:sz w:val="24"/>
          <w:szCs w:val="24"/>
        </w:rPr>
      </w:pPr>
    </w:p>
    <w:p w14:paraId="4D089724" w14:textId="77777777" w:rsidR="00333203" w:rsidRPr="00A35234" w:rsidRDefault="00333203" w:rsidP="00F05A7A">
      <w:pPr>
        <w:spacing w:after="0" w:line="240" w:lineRule="auto"/>
        <w:contextualSpacing/>
        <w:rPr>
          <w:rFonts w:ascii="Arial" w:hAnsi="Arial" w:cs="Arial"/>
          <w:sz w:val="24"/>
          <w:szCs w:val="24"/>
        </w:rPr>
      </w:pPr>
      <w:r w:rsidRPr="00F05A7A">
        <w:rPr>
          <w:rFonts w:ascii="Arial" w:hAnsi="Arial" w:cs="Arial"/>
          <w:sz w:val="24"/>
          <w:szCs w:val="24"/>
        </w:rPr>
        <w:t xml:space="preserve">B3 / BM&amp;FBOVESPA. Demonstrações financeiras padronizadas consolidadas, </w:t>
      </w:r>
      <w:r w:rsidRPr="00A35234">
        <w:rPr>
          <w:rFonts w:ascii="Arial" w:hAnsi="Arial" w:cs="Arial"/>
          <w:sz w:val="24"/>
          <w:szCs w:val="24"/>
        </w:rPr>
        <w:t xml:space="preserve">Relatório da Administração, Parecer da Auditoria e Notas Explicativas da empresa BRF S.A. Disponível em: &lt; </w:t>
      </w:r>
      <w:hyperlink r:id="rId23" w:history="1">
        <w:r w:rsidRPr="00A35234">
          <w:rPr>
            <w:rStyle w:val="Hyperlink"/>
            <w:rFonts w:ascii="Arial" w:hAnsi="Arial" w:cs="Arial"/>
            <w:color w:val="auto"/>
            <w:sz w:val="24"/>
            <w:szCs w:val="24"/>
            <w:u w:val="none"/>
          </w:rPr>
          <w:t>http://www.bmfbovespa.com.br/pt_br/index.htm</w:t>
        </w:r>
      </w:hyperlink>
      <w:r w:rsidRPr="00A35234">
        <w:rPr>
          <w:rFonts w:ascii="Arial" w:hAnsi="Arial" w:cs="Arial"/>
          <w:sz w:val="24"/>
          <w:szCs w:val="24"/>
        </w:rPr>
        <w:t xml:space="preserve"> &gt; Acesso em 22/10/2017.</w:t>
      </w:r>
    </w:p>
    <w:p w14:paraId="466F83BA" w14:textId="77777777" w:rsidR="00471C42" w:rsidRPr="00A35234" w:rsidRDefault="00471C42" w:rsidP="00F05A7A">
      <w:pPr>
        <w:spacing w:after="0" w:line="240" w:lineRule="auto"/>
        <w:contextualSpacing/>
        <w:rPr>
          <w:rFonts w:ascii="Arial" w:hAnsi="Arial" w:cs="Arial"/>
          <w:sz w:val="24"/>
          <w:szCs w:val="24"/>
        </w:rPr>
      </w:pPr>
    </w:p>
    <w:p w14:paraId="039CC8A9" w14:textId="134C3772" w:rsidR="00687A5D" w:rsidRPr="00A35234" w:rsidRDefault="00687A5D" w:rsidP="00F05A7A">
      <w:pPr>
        <w:spacing w:after="0" w:line="240" w:lineRule="auto"/>
        <w:contextualSpacing/>
        <w:rPr>
          <w:rFonts w:ascii="Arial" w:hAnsi="Arial" w:cs="Arial"/>
          <w:sz w:val="24"/>
          <w:szCs w:val="24"/>
        </w:rPr>
      </w:pPr>
      <w:r w:rsidRPr="00A35234">
        <w:rPr>
          <w:rFonts w:ascii="Arial" w:hAnsi="Arial" w:cs="Arial"/>
          <w:sz w:val="24"/>
          <w:szCs w:val="24"/>
        </w:rPr>
        <w:t xml:space="preserve">______________. Uma das principais empresas de infraestrutura de mercado financeiro do mundo. Disponível em: &lt; </w:t>
      </w:r>
      <w:hyperlink w:history="1">
        <w:r w:rsidRPr="00A35234">
          <w:rPr>
            <w:rStyle w:val="Hyperlink"/>
            <w:rFonts w:ascii="Arial" w:hAnsi="Arial" w:cs="Arial"/>
            <w:color w:val="auto"/>
            <w:sz w:val="24"/>
            <w:szCs w:val="24"/>
            <w:u w:val="none"/>
          </w:rPr>
          <w:t>http://www.bmfbovespa.com. br/pt_br/institucional/sobre-a-bm-fbovespa/quem-somos/</w:t>
        </w:r>
      </w:hyperlink>
      <w:r w:rsidRPr="00A35234">
        <w:rPr>
          <w:rFonts w:ascii="Arial" w:hAnsi="Arial" w:cs="Arial"/>
          <w:sz w:val="24"/>
          <w:szCs w:val="24"/>
        </w:rPr>
        <w:t xml:space="preserve"> &gt; Acesso em 26/06/2018.</w:t>
      </w:r>
    </w:p>
    <w:p w14:paraId="6D698193" w14:textId="77777777" w:rsidR="00687A5D" w:rsidRPr="00A35234" w:rsidRDefault="00687A5D" w:rsidP="00F05A7A">
      <w:pPr>
        <w:spacing w:after="0" w:line="240" w:lineRule="auto"/>
        <w:contextualSpacing/>
        <w:rPr>
          <w:rFonts w:ascii="Arial" w:hAnsi="Arial" w:cs="Arial"/>
          <w:sz w:val="24"/>
          <w:szCs w:val="24"/>
        </w:rPr>
      </w:pPr>
    </w:p>
    <w:p w14:paraId="30CAB05F" w14:textId="77777777" w:rsidR="00687A5D" w:rsidRPr="00A35234" w:rsidRDefault="00687A5D" w:rsidP="00F05A7A">
      <w:pPr>
        <w:spacing w:after="0" w:line="240" w:lineRule="auto"/>
        <w:contextualSpacing/>
        <w:rPr>
          <w:rFonts w:ascii="Arial" w:hAnsi="Arial" w:cs="Arial"/>
          <w:sz w:val="24"/>
          <w:szCs w:val="24"/>
        </w:rPr>
      </w:pPr>
    </w:p>
    <w:p w14:paraId="24D9000B" w14:textId="7D4F89AA" w:rsidR="00333203" w:rsidRPr="00A35234" w:rsidRDefault="00333203" w:rsidP="00F05A7A">
      <w:pPr>
        <w:spacing w:after="0" w:line="240" w:lineRule="auto"/>
        <w:contextualSpacing/>
        <w:rPr>
          <w:rFonts w:ascii="Arial" w:hAnsi="Arial" w:cs="Arial"/>
          <w:sz w:val="24"/>
          <w:szCs w:val="24"/>
        </w:rPr>
      </w:pPr>
      <w:r w:rsidRPr="00A35234">
        <w:rPr>
          <w:rFonts w:ascii="Arial" w:hAnsi="Arial" w:cs="Arial"/>
          <w:sz w:val="24"/>
          <w:szCs w:val="24"/>
        </w:rPr>
        <w:t xml:space="preserve">BRF. Disponível em: &lt; </w:t>
      </w:r>
      <w:hyperlink r:id="rId24" w:history="1">
        <w:r w:rsidRPr="00A35234">
          <w:rPr>
            <w:rStyle w:val="Hyperlink"/>
            <w:rFonts w:ascii="Arial" w:hAnsi="Arial" w:cs="Arial"/>
            <w:color w:val="auto"/>
            <w:sz w:val="24"/>
            <w:szCs w:val="24"/>
            <w:u w:val="none"/>
          </w:rPr>
          <w:t>https://www.brf-global.com/</w:t>
        </w:r>
      </w:hyperlink>
      <w:r w:rsidRPr="00A35234">
        <w:rPr>
          <w:rStyle w:val="Hyperlink"/>
          <w:rFonts w:ascii="Arial" w:hAnsi="Arial" w:cs="Arial"/>
          <w:color w:val="auto"/>
          <w:sz w:val="24"/>
          <w:szCs w:val="24"/>
          <w:u w:val="none"/>
        </w:rPr>
        <w:t xml:space="preserve"> </w:t>
      </w:r>
      <w:r w:rsidRPr="00A35234">
        <w:rPr>
          <w:rFonts w:ascii="Arial" w:hAnsi="Arial" w:cs="Arial"/>
          <w:sz w:val="24"/>
          <w:szCs w:val="24"/>
        </w:rPr>
        <w:t>&gt; Acesso em 04/10/2017.</w:t>
      </w:r>
    </w:p>
    <w:p w14:paraId="1B3B210C" w14:textId="77777777" w:rsidR="00471C42" w:rsidRPr="00F05A7A" w:rsidRDefault="00471C42" w:rsidP="00F05A7A">
      <w:pPr>
        <w:spacing w:after="0" w:line="240" w:lineRule="auto"/>
        <w:contextualSpacing/>
        <w:rPr>
          <w:rFonts w:ascii="Arial" w:hAnsi="Arial" w:cs="Arial"/>
          <w:sz w:val="24"/>
          <w:szCs w:val="24"/>
        </w:rPr>
      </w:pPr>
    </w:p>
    <w:p w14:paraId="344E043C" w14:textId="77777777" w:rsidR="00333203" w:rsidRPr="00F05A7A" w:rsidRDefault="00333203" w:rsidP="00F05A7A">
      <w:pPr>
        <w:spacing w:after="0" w:line="240" w:lineRule="auto"/>
        <w:contextualSpacing/>
        <w:rPr>
          <w:rFonts w:ascii="Arial" w:hAnsi="Arial" w:cs="Arial"/>
          <w:sz w:val="24"/>
          <w:szCs w:val="24"/>
        </w:rPr>
      </w:pPr>
      <w:r w:rsidRPr="00F05A7A">
        <w:rPr>
          <w:rFonts w:ascii="Arial" w:hAnsi="Arial" w:cs="Arial"/>
          <w:sz w:val="24"/>
          <w:szCs w:val="24"/>
        </w:rPr>
        <w:t>COMITÊ DE PRONUNCIAMENTOS CONTÁBEIS. Pronunciamento Técnico CPC 01 (R1) Redução ao Valor Recuperável de Ativos. 2010.</w:t>
      </w:r>
    </w:p>
    <w:p w14:paraId="2C643467" w14:textId="77777777" w:rsidR="00471C42" w:rsidRPr="00F05A7A" w:rsidRDefault="00471C42" w:rsidP="00F05A7A">
      <w:pPr>
        <w:spacing w:after="0" w:line="240" w:lineRule="auto"/>
        <w:contextualSpacing/>
        <w:rPr>
          <w:rFonts w:ascii="Arial" w:hAnsi="Arial" w:cs="Arial"/>
          <w:sz w:val="24"/>
          <w:szCs w:val="24"/>
        </w:rPr>
      </w:pPr>
    </w:p>
    <w:p w14:paraId="526229DB" w14:textId="36D7B54E" w:rsidR="00333203" w:rsidRPr="00F05A7A" w:rsidRDefault="00002FAF" w:rsidP="00F05A7A">
      <w:pPr>
        <w:spacing w:after="0" w:line="240" w:lineRule="auto"/>
        <w:contextualSpacing/>
        <w:rPr>
          <w:rFonts w:ascii="Arial" w:hAnsi="Arial" w:cs="Arial"/>
          <w:sz w:val="24"/>
          <w:szCs w:val="24"/>
        </w:rPr>
      </w:pPr>
      <w:r w:rsidRPr="00F05A7A">
        <w:rPr>
          <w:rFonts w:ascii="Arial" w:hAnsi="Arial" w:cs="Arial"/>
          <w:sz w:val="24"/>
          <w:szCs w:val="24"/>
        </w:rPr>
        <w:lastRenderedPageBreak/>
        <w:t>______________</w:t>
      </w:r>
      <w:r w:rsidR="00333203" w:rsidRPr="00F05A7A">
        <w:rPr>
          <w:rFonts w:ascii="Arial" w:hAnsi="Arial" w:cs="Arial"/>
          <w:sz w:val="24"/>
          <w:szCs w:val="24"/>
        </w:rPr>
        <w:t>. Pronunciamento Técnico CPC 12 Ajuste a Valor Presente. 2008.</w:t>
      </w:r>
    </w:p>
    <w:p w14:paraId="5F7F2967" w14:textId="77777777" w:rsidR="00471C42" w:rsidRPr="00F05A7A" w:rsidRDefault="00471C42" w:rsidP="00F05A7A">
      <w:pPr>
        <w:spacing w:after="0" w:line="240" w:lineRule="auto"/>
        <w:contextualSpacing/>
        <w:rPr>
          <w:rFonts w:ascii="Arial" w:hAnsi="Arial" w:cs="Arial"/>
          <w:sz w:val="24"/>
          <w:szCs w:val="24"/>
        </w:rPr>
      </w:pPr>
    </w:p>
    <w:p w14:paraId="035D88D9" w14:textId="109585BE" w:rsidR="00333203" w:rsidRPr="00F05A7A" w:rsidRDefault="00454956" w:rsidP="00F05A7A">
      <w:pPr>
        <w:spacing w:after="0" w:line="240" w:lineRule="auto"/>
        <w:contextualSpacing/>
        <w:rPr>
          <w:rFonts w:ascii="Arial" w:hAnsi="Arial" w:cs="Arial"/>
          <w:sz w:val="24"/>
          <w:szCs w:val="24"/>
        </w:rPr>
      </w:pPr>
      <w:r w:rsidRPr="00F05A7A">
        <w:rPr>
          <w:rFonts w:ascii="Arial" w:hAnsi="Arial" w:cs="Arial"/>
          <w:sz w:val="24"/>
          <w:szCs w:val="24"/>
        </w:rPr>
        <w:t>______________</w:t>
      </w:r>
      <w:r w:rsidR="00333203" w:rsidRPr="00F05A7A">
        <w:rPr>
          <w:rFonts w:ascii="Arial" w:hAnsi="Arial" w:cs="Arial"/>
          <w:sz w:val="24"/>
          <w:szCs w:val="24"/>
        </w:rPr>
        <w:t>. Pronunciamento Técnico CPC 25 Provisões, Passivos Contingentes e Ativos Contingentes. 2009.</w:t>
      </w:r>
    </w:p>
    <w:p w14:paraId="09F0371E" w14:textId="77777777" w:rsidR="00471C42" w:rsidRPr="00F05A7A" w:rsidRDefault="00471C42" w:rsidP="00F05A7A">
      <w:pPr>
        <w:spacing w:after="0" w:line="240" w:lineRule="auto"/>
        <w:contextualSpacing/>
        <w:rPr>
          <w:rFonts w:ascii="Arial" w:hAnsi="Arial" w:cs="Arial"/>
          <w:sz w:val="24"/>
          <w:szCs w:val="24"/>
        </w:rPr>
      </w:pPr>
    </w:p>
    <w:p w14:paraId="59C7D2B7" w14:textId="4A32DBAB" w:rsidR="00333203" w:rsidRPr="00F05A7A" w:rsidRDefault="00454956" w:rsidP="00F05A7A">
      <w:pPr>
        <w:spacing w:after="0" w:line="240" w:lineRule="auto"/>
        <w:contextualSpacing/>
        <w:rPr>
          <w:rFonts w:ascii="Arial" w:hAnsi="Arial" w:cs="Arial"/>
          <w:sz w:val="24"/>
          <w:szCs w:val="24"/>
        </w:rPr>
      </w:pPr>
      <w:r w:rsidRPr="00F05A7A">
        <w:rPr>
          <w:rFonts w:ascii="Arial" w:hAnsi="Arial" w:cs="Arial"/>
          <w:sz w:val="24"/>
          <w:szCs w:val="24"/>
        </w:rPr>
        <w:t>______________</w:t>
      </w:r>
      <w:r w:rsidR="00333203" w:rsidRPr="00F05A7A">
        <w:rPr>
          <w:rFonts w:ascii="Arial" w:hAnsi="Arial" w:cs="Arial"/>
          <w:sz w:val="24"/>
          <w:szCs w:val="24"/>
        </w:rPr>
        <w:t>. Pronunciamento Técnico CPC 26 (R1) Apresentação das Demonstrações Contábeis. 2011.</w:t>
      </w:r>
    </w:p>
    <w:p w14:paraId="44D06645" w14:textId="77777777" w:rsidR="00471C42" w:rsidRPr="00F05A7A" w:rsidRDefault="00471C42" w:rsidP="00F05A7A">
      <w:pPr>
        <w:spacing w:after="0" w:line="240" w:lineRule="auto"/>
        <w:contextualSpacing/>
        <w:rPr>
          <w:rFonts w:ascii="Arial" w:hAnsi="Arial" w:cs="Arial"/>
          <w:sz w:val="24"/>
          <w:szCs w:val="24"/>
        </w:rPr>
      </w:pPr>
    </w:p>
    <w:p w14:paraId="286504EC" w14:textId="529C9CBB" w:rsidR="00333203" w:rsidRPr="00F05A7A" w:rsidRDefault="00454956" w:rsidP="00F05A7A">
      <w:pPr>
        <w:spacing w:after="0" w:line="240" w:lineRule="auto"/>
        <w:contextualSpacing/>
        <w:rPr>
          <w:rFonts w:ascii="Arial" w:hAnsi="Arial" w:cs="Arial"/>
          <w:sz w:val="24"/>
          <w:szCs w:val="24"/>
        </w:rPr>
      </w:pPr>
      <w:r w:rsidRPr="00F05A7A">
        <w:rPr>
          <w:rFonts w:ascii="Arial" w:hAnsi="Arial" w:cs="Arial"/>
          <w:sz w:val="24"/>
          <w:szCs w:val="24"/>
        </w:rPr>
        <w:t>______________</w:t>
      </w:r>
      <w:r w:rsidR="00333203" w:rsidRPr="00F05A7A">
        <w:rPr>
          <w:rFonts w:ascii="Arial" w:hAnsi="Arial" w:cs="Arial"/>
          <w:sz w:val="24"/>
          <w:szCs w:val="24"/>
        </w:rPr>
        <w:t>. Pronunciamento Técnico CPC 46 Mensuração do Valor Justo. 2012.</w:t>
      </w:r>
    </w:p>
    <w:p w14:paraId="6BB61F01" w14:textId="77777777" w:rsidR="00471C42" w:rsidRPr="00F05A7A" w:rsidRDefault="00471C42" w:rsidP="00F05A7A">
      <w:pPr>
        <w:spacing w:after="0" w:line="240" w:lineRule="auto"/>
        <w:contextualSpacing/>
        <w:rPr>
          <w:rFonts w:ascii="Arial" w:hAnsi="Arial" w:cs="Arial"/>
          <w:sz w:val="24"/>
          <w:szCs w:val="24"/>
        </w:rPr>
      </w:pPr>
    </w:p>
    <w:p w14:paraId="6AF279A0" w14:textId="77777777" w:rsidR="00333203" w:rsidRPr="00F05A7A" w:rsidRDefault="00333203" w:rsidP="00F05A7A">
      <w:pPr>
        <w:spacing w:after="0" w:line="240" w:lineRule="auto"/>
        <w:contextualSpacing/>
        <w:rPr>
          <w:rFonts w:ascii="Arial" w:hAnsi="Arial" w:cs="Arial"/>
          <w:sz w:val="24"/>
          <w:szCs w:val="24"/>
        </w:rPr>
      </w:pPr>
      <w:r w:rsidRPr="00F05A7A">
        <w:rPr>
          <w:rFonts w:ascii="Arial" w:hAnsi="Arial" w:cs="Arial"/>
          <w:sz w:val="24"/>
          <w:szCs w:val="24"/>
        </w:rPr>
        <w:t>DELOITTE. Normas Internacionais de Contabilidade. 1. ed. São Paulo, Atlas, 2010.</w:t>
      </w:r>
    </w:p>
    <w:p w14:paraId="7C267DD4" w14:textId="77777777" w:rsidR="00471C42" w:rsidRPr="00F05A7A" w:rsidRDefault="00471C42" w:rsidP="00F05A7A">
      <w:pPr>
        <w:spacing w:after="0" w:line="240" w:lineRule="auto"/>
        <w:contextualSpacing/>
        <w:rPr>
          <w:rFonts w:ascii="Arial" w:hAnsi="Arial" w:cs="Arial"/>
          <w:sz w:val="24"/>
          <w:szCs w:val="24"/>
        </w:rPr>
      </w:pPr>
    </w:p>
    <w:p w14:paraId="3332AB1D" w14:textId="77777777" w:rsidR="00333203" w:rsidRPr="00A35234" w:rsidRDefault="00333203" w:rsidP="00F05A7A">
      <w:pPr>
        <w:spacing w:after="0" w:line="240" w:lineRule="auto"/>
        <w:contextualSpacing/>
        <w:rPr>
          <w:rFonts w:ascii="Arial" w:hAnsi="Arial" w:cs="Arial"/>
          <w:sz w:val="24"/>
          <w:szCs w:val="24"/>
        </w:rPr>
      </w:pPr>
      <w:r w:rsidRPr="00A35234">
        <w:rPr>
          <w:rFonts w:ascii="Arial" w:hAnsi="Arial" w:cs="Arial"/>
          <w:sz w:val="24"/>
          <w:szCs w:val="24"/>
        </w:rPr>
        <w:t xml:space="preserve">ISTOÉ. Os detalhes da fusão entre Sadia e Perdigão. Disponível em: &lt; </w:t>
      </w:r>
      <w:hyperlink r:id="rId25" w:history="1">
        <w:r w:rsidRPr="00A35234">
          <w:rPr>
            <w:rStyle w:val="Hyperlink"/>
            <w:rFonts w:ascii="Arial" w:hAnsi="Arial" w:cs="Arial"/>
            <w:color w:val="auto"/>
            <w:sz w:val="24"/>
            <w:szCs w:val="24"/>
            <w:u w:val="none"/>
          </w:rPr>
          <w:t>http://istoe.com.br/146549_OS+DETALHES+DA+FUSAO+ENTRE+SADIA+E+PERDIGAO/</w:t>
        </w:r>
      </w:hyperlink>
      <w:r w:rsidRPr="00A35234">
        <w:rPr>
          <w:rFonts w:ascii="Arial" w:hAnsi="Arial" w:cs="Arial"/>
          <w:sz w:val="24"/>
          <w:szCs w:val="24"/>
        </w:rPr>
        <w:t xml:space="preserve"> &gt; Acesso em 27/05/2017.</w:t>
      </w:r>
    </w:p>
    <w:p w14:paraId="22F3C057" w14:textId="77777777" w:rsidR="00471C42" w:rsidRPr="00A35234" w:rsidRDefault="00471C42" w:rsidP="00F05A7A">
      <w:pPr>
        <w:spacing w:after="0" w:line="240" w:lineRule="auto"/>
        <w:contextualSpacing/>
        <w:rPr>
          <w:rFonts w:ascii="Arial" w:hAnsi="Arial" w:cs="Arial"/>
          <w:sz w:val="24"/>
          <w:szCs w:val="24"/>
        </w:rPr>
      </w:pPr>
    </w:p>
    <w:p w14:paraId="2D54E6FB" w14:textId="77777777" w:rsidR="00333203" w:rsidRPr="00A35234" w:rsidRDefault="00333203" w:rsidP="00F05A7A">
      <w:pPr>
        <w:spacing w:after="0" w:line="240" w:lineRule="auto"/>
        <w:contextualSpacing/>
        <w:rPr>
          <w:rFonts w:ascii="Arial" w:hAnsi="Arial" w:cs="Arial"/>
          <w:sz w:val="24"/>
          <w:szCs w:val="24"/>
        </w:rPr>
      </w:pPr>
      <w:r w:rsidRPr="00A35234">
        <w:rPr>
          <w:rFonts w:ascii="Arial" w:hAnsi="Arial" w:cs="Arial"/>
          <w:sz w:val="24"/>
          <w:szCs w:val="24"/>
          <w:lang w:val="en-US"/>
        </w:rPr>
        <w:t xml:space="preserve">IFRS® FUNDATION. Who We Are. </w:t>
      </w:r>
      <w:r w:rsidRPr="00A35234">
        <w:rPr>
          <w:rFonts w:ascii="Arial" w:hAnsi="Arial" w:cs="Arial"/>
          <w:sz w:val="24"/>
          <w:szCs w:val="24"/>
        </w:rPr>
        <w:t xml:space="preserve">Disponível em &lt; </w:t>
      </w:r>
      <w:hyperlink r:id="rId26" w:history="1">
        <w:r w:rsidRPr="00A35234">
          <w:rPr>
            <w:rStyle w:val="Hyperlink"/>
            <w:rFonts w:ascii="Arial" w:hAnsi="Arial" w:cs="Arial"/>
            <w:color w:val="auto"/>
            <w:sz w:val="24"/>
            <w:szCs w:val="24"/>
            <w:u w:val="none"/>
          </w:rPr>
          <w:t>http://www.ifrs.org/about-us/who-we-are/</w:t>
        </w:r>
      </w:hyperlink>
      <w:r w:rsidRPr="00A35234">
        <w:rPr>
          <w:rFonts w:ascii="Arial" w:hAnsi="Arial" w:cs="Arial"/>
          <w:sz w:val="24"/>
          <w:szCs w:val="24"/>
        </w:rPr>
        <w:t xml:space="preserve"> &gt; Acesso em 21/10/2017.</w:t>
      </w:r>
    </w:p>
    <w:p w14:paraId="7D759576" w14:textId="77777777" w:rsidR="00471C42" w:rsidRPr="00A35234" w:rsidRDefault="00471C42" w:rsidP="00F05A7A">
      <w:pPr>
        <w:spacing w:after="0" w:line="240" w:lineRule="auto"/>
        <w:contextualSpacing/>
        <w:rPr>
          <w:rFonts w:ascii="Arial" w:hAnsi="Arial" w:cs="Arial"/>
          <w:sz w:val="24"/>
          <w:szCs w:val="24"/>
        </w:rPr>
      </w:pPr>
    </w:p>
    <w:p w14:paraId="56A3A9F5" w14:textId="108183A0" w:rsidR="00333203" w:rsidRPr="00A35234" w:rsidRDefault="00454956" w:rsidP="00F05A7A">
      <w:pPr>
        <w:spacing w:after="0" w:line="240" w:lineRule="auto"/>
        <w:contextualSpacing/>
        <w:rPr>
          <w:rFonts w:ascii="Arial" w:hAnsi="Arial" w:cs="Arial"/>
          <w:sz w:val="24"/>
          <w:szCs w:val="24"/>
          <w:lang w:val="en-US"/>
        </w:rPr>
      </w:pPr>
      <w:r w:rsidRPr="00A35234">
        <w:rPr>
          <w:rFonts w:ascii="Arial" w:hAnsi="Arial" w:cs="Arial"/>
          <w:sz w:val="24"/>
          <w:szCs w:val="24"/>
          <w:lang w:val="en-US"/>
        </w:rPr>
        <w:t>______________</w:t>
      </w:r>
      <w:r w:rsidR="00333203" w:rsidRPr="00A35234">
        <w:rPr>
          <w:rFonts w:ascii="Arial" w:hAnsi="Arial" w:cs="Arial"/>
          <w:sz w:val="24"/>
          <w:szCs w:val="24"/>
          <w:lang w:val="en-US"/>
        </w:rPr>
        <w:t xml:space="preserve">. Who uses IFRS </w:t>
      </w:r>
      <w:r w:rsidR="00A35234" w:rsidRPr="00A35234">
        <w:rPr>
          <w:rFonts w:ascii="Arial" w:hAnsi="Arial" w:cs="Arial"/>
          <w:sz w:val="24"/>
          <w:szCs w:val="24"/>
          <w:lang w:val="en-US"/>
        </w:rPr>
        <w:t>Standards?</w:t>
      </w:r>
      <w:r w:rsidR="00333203" w:rsidRPr="00A35234">
        <w:rPr>
          <w:rFonts w:ascii="Arial" w:hAnsi="Arial" w:cs="Arial"/>
          <w:sz w:val="24"/>
          <w:szCs w:val="24"/>
          <w:lang w:val="en-US"/>
        </w:rPr>
        <w:t xml:space="preserve"> Disponível em &lt; </w:t>
      </w:r>
      <w:hyperlink w:history="1">
        <w:r w:rsidR="00333203" w:rsidRPr="00A35234">
          <w:rPr>
            <w:rStyle w:val="Hyperlink"/>
            <w:rFonts w:ascii="Arial" w:hAnsi="Arial" w:cs="Arial"/>
            <w:color w:val="auto"/>
            <w:sz w:val="24"/>
            <w:szCs w:val="24"/>
            <w:u w:val="none"/>
            <w:lang w:val="en-US"/>
          </w:rPr>
          <w:t>http://www.ifrs. org/use-around-the-world/use-of-ifrs-standards-by-jurisdiction/#analysis</w:t>
        </w:r>
      </w:hyperlink>
      <w:r w:rsidR="00333203" w:rsidRPr="00A35234">
        <w:rPr>
          <w:rFonts w:ascii="Arial" w:hAnsi="Arial" w:cs="Arial"/>
          <w:sz w:val="24"/>
          <w:szCs w:val="24"/>
          <w:lang w:val="en-US"/>
        </w:rPr>
        <w:t xml:space="preserve"> &gt; Acesso em: 21/10/2017.</w:t>
      </w:r>
    </w:p>
    <w:p w14:paraId="0048A1D8" w14:textId="77777777" w:rsidR="00471C42" w:rsidRPr="00A35234" w:rsidRDefault="00471C42" w:rsidP="00F05A7A">
      <w:pPr>
        <w:spacing w:after="0" w:line="240" w:lineRule="auto"/>
        <w:contextualSpacing/>
        <w:rPr>
          <w:rFonts w:ascii="Arial" w:hAnsi="Arial" w:cs="Arial"/>
          <w:sz w:val="24"/>
          <w:szCs w:val="24"/>
          <w:lang w:val="en-US"/>
        </w:rPr>
      </w:pPr>
    </w:p>
    <w:p w14:paraId="4BA1D0CF" w14:textId="6F392333" w:rsidR="00333203" w:rsidRPr="00A35234" w:rsidRDefault="00454956" w:rsidP="00F05A7A">
      <w:pPr>
        <w:spacing w:after="0" w:line="240" w:lineRule="auto"/>
        <w:contextualSpacing/>
        <w:rPr>
          <w:rFonts w:ascii="Arial" w:hAnsi="Arial" w:cs="Arial"/>
          <w:sz w:val="24"/>
          <w:szCs w:val="24"/>
          <w:lang w:val="en-US"/>
        </w:rPr>
      </w:pPr>
      <w:r w:rsidRPr="00A35234">
        <w:rPr>
          <w:rFonts w:ascii="Arial" w:hAnsi="Arial" w:cs="Arial"/>
          <w:sz w:val="24"/>
          <w:szCs w:val="24"/>
          <w:lang w:val="en-US"/>
        </w:rPr>
        <w:t>______________</w:t>
      </w:r>
      <w:r w:rsidR="00333203" w:rsidRPr="00A35234">
        <w:rPr>
          <w:rFonts w:ascii="Arial" w:hAnsi="Arial" w:cs="Arial"/>
          <w:sz w:val="24"/>
          <w:szCs w:val="24"/>
          <w:lang w:val="en-US"/>
        </w:rPr>
        <w:t xml:space="preserve">. IAS 36 Impairment of Assets. Disponível em &lt; </w:t>
      </w:r>
      <w:hyperlink w:history="1">
        <w:r w:rsidR="00333203" w:rsidRPr="00A35234">
          <w:rPr>
            <w:rStyle w:val="Hyperlink"/>
            <w:rFonts w:ascii="Arial" w:hAnsi="Arial" w:cs="Arial"/>
            <w:color w:val="auto"/>
            <w:sz w:val="24"/>
            <w:szCs w:val="24"/>
            <w:u w:val="none"/>
            <w:lang w:val="en-US"/>
          </w:rPr>
          <w:t>http://www.ifrs. org/issued-standards/list-of-standards/ias-36-impairment-of-assets/</w:t>
        </w:r>
      </w:hyperlink>
      <w:r w:rsidR="00333203" w:rsidRPr="00A35234">
        <w:rPr>
          <w:rFonts w:ascii="Arial" w:hAnsi="Arial" w:cs="Arial"/>
          <w:sz w:val="24"/>
          <w:szCs w:val="24"/>
          <w:lang w:val="en-US"/>
        </w:rPr>
        <w:t xml:space="preserve"> &gt; Acesso em: 29/10/2017.</w:t>
      </w:r>
    </w:p>
    <w:p w14:paraId="19D47423" w14:textId="77777777" w:rsidR="00333203" w:rsidRPr="00F05A7A" w:rsidRDefault="00333203" w:rsidP="00F05A7A">
      <w:pPr>
        <w:spacing w:after="0" w:line="240" w:lineRule="auto"/>
        <w:contextualSpacing/>
        <w:rPr>
          <w:rFonts w:ascii="Arial" w:hAnsi="Arial" w:cs="Arial"/>
          <w:sz w:val="24"/>
          <w:szCs w:val="24"/>
          <w:lang w:val="en-US"/>
        </w:rPr>
      </w:pPr>
    </w:p>
    <w:p w14:paraId="06781B84" w14:textId="0220DEBE" w:rsidR="00333203" w:rsidRPr="00F05A7A" w:rsidRDefault="00333203" w:rsidP="00F05A7A">
      <w:pPr>
        <w:spacing w:after="0" w:line="240" w:lineRule="auto"/>
        <w:contextualSpacing/>
        <w:rPr>
          <w:rFonts w:ascii="Arial" w:hAnsi="Arial" w:cs="Arial"/>
          <w:sz w:val="24"/>
          <w:szCs w:val="24"/>
        </w:rPr>
      </w:pPr>
      <w:r w:rsidRPr="00F05A7A">
        <w:rPr>
          <w:rFonts w:ascii="Arial" w:hAnsi="Arial" w:cs="Arial"/>
          <w:sz w:val="24"/>
          <w:szCs w:val="24"/>
        </w:rPr>
        <w:t xml:space="preserve">IUDÍCIBUS, </w:t>
      </w:r>
      <w:r w:rsidR="00454956" w:rsidRPr="00F05A7A">
        <w:rPr>
          <w:rFonts w:ascii="Arial" w:hAnsi="Arial" w:cs="Arial"/>
          <w:sz w:val="24"/>
          <w:szCs w:val="24"/>
        </w:rPr>
        <w:t>et. al.</w:t>
      </w:r>
      <w:r w:rsidRPr="00F05A7A">
        <w:rPr>
          <w:rFonts w:ascii="Arial" w:hAnsi="Arial" w:cs="Arial"/>
          <w:sz w:val="24"/>
          <w:szCs w:val="24"/>
        </w:rPr>
        <w:t xml:space="preserve"> Manual de Contabilidade Societária. 1. ed. São Paulo, Atlas, 2010. </w:t>
      </w:r>
    </w:p>
    <w:p w14:paraId="2D55C0FE" w14:textId="77777777" w:rsidR="00D53341" w:rsidRPr="00F05A7A" w:rsidRDefault="00D53341" w:rsidP="00F05A7A">
      <w:pPr>
        <w:spacing w:after="0" w:line="240" w:lineRule="auto"/>
        <w:contextualSpacing/>
        <w:rPr>
          <w:rFonts w:ascii="Arial" w:hAnsi="Arial" w:cs="Arial"/>
          <w:sz w:val="24"/>
          <w:szCs w:val="24"/>
        </w:rPr>
      </w:pPr>
    </w:p>
    <w:p w14:paraId="48C43E4A" w14:textId="3539266B" w:rsidR="00333203" w:rsidRPr="00F05A7A" w:rsidRDefault="00333203" w:rsidP="00F05A7A">
      <w:pPr>
        <w:spacing w:after="0" w:line="240" w:lineRule="auto"/>
        <w:contextualSpacing/>
        <w:rPr>
          <w:rFonts w:ascii="Arial" w:hAnsi="Arial" w:cs="Arial"/>
          <w:sz w:val="24"/>
          <w:szCs w:val="24"/>
          <w:lang w:val="en-US"/>
        </w:rPr>
      </w:pPr>
      <w:r w:rsidRPr="00F05A7A">
        <w:rPr>
          <w:rFonts w:ascii="Arial" w:hAnsi="Arial" w:cs="Arial"/>
          <w:sz w:val="24"/>
          <w:szCs w:val="24"/>
        </w:rPr>
        <w:t xml:space="preserve">MENDES, </w:t>
      </w:r>
      <w:r w:rsidR="009D0157" w:rsidRPr="00F05A7A">
        <w:rPr>
          <w:rFonts w:ascii="Arial" w:hAnsi="Arial" w:cs="Arial"/>
          <w:sz w:val="24"/>
          <w:szCs w:val="24"/>
        </w:rPr>
        <w:t>Wagner</w:t>
      </w:r>
      <w:r w:rsidRPr="00F05A7A">
        <w:rPr>
          <w:rFonts w:ascii="Arial" w:hAnsi="Arial" w:cs="Arial"/>
          <w:sz w:val="24"/>
          <w:szCs w:val="24"/>
        </w:rPr>
        <w:t xml:space="preserve">. Redução ao Valor Recuperável de Ativo (Impairment) e Ajuste a Valor Presente (AVP). 1. ed. </w:t>
      </w:r>
      <w:r w:rsidRPr="00F05A7A">
        <w:rPr>
          <w:rFonts w:ascii="Arial" w:hAnsi="Arial" w:cs="Arial"/>
          <w:sz w:val="24"/>
          <w:szCs w:val="24"/>
          <w:lang w:val="en-US"/>
        </w:rPr>
        <w:t>São Paulo, IOB, 2010.</w:t>
      </w:r>
    </w:p>
    <w:p w14:paraId="2C5D7D66" w14:textId="77777777" w:rsidR="009D0157" w:rsidRPr="00F05A7A" w:rsidRDefault="009D0157" w:rsidP="00F05A7A">
      <w:pPr>
        <w:spacing w:after="0" w:line="240" w:lineRule="auto"/>
        <w:contextualSpacing/>
        <w:rPr>
          <w:rFonts w:ascii="Arial" w:hAnsi="Arial" w:cs="Arial"/>
          <w:sz w:val="24"/>
          <w:szCs w:val="24"/>
          <w:lang w:val="en-US"/>
        </w:rPr>
      </w:pPr>
    </w:p>
    <w:p w14:paraId="0E5D09A3" w14:textId="3385A1C8" w:rsidR="00D53341" w:rsidRPr="00F05A7A" w:rsidRDefault="009D0157" w:rsidP="00F05A7A">
      <w:pPr>
        <w:spacing w:after="0" w:line="240" w:lineRule="auto"/>
        <w:contextualSpacing/>
        <w:rPr>
          <w:rFonts w:ascii="Arial" w:hAnsi="Arial" w:cs="Arial"/>
          <w:sz w:val="24"/>
          <w:szCs w:val="24"/>
          <w:lang w:val="en-US"/>
        </w:rPr>
      </w:pPr>
      <w:r w:rsidRPr="00F05A7A">
        <w:rPr>
          <w:rFonts w:ascii="Arial" w:hAnsi="Arial" w:cs="Arial"/>
          <w:sz w:val="24"/>
          <w:szCs w:val="24"/>
          <w:lang w:val="en-US"/>
        </w:rPr>
        <w:t xml:space="preserve">Mueller, G. Whys and </w:t>
      </w:r>
      <w:r w:rsidR="00A35234" w:rsidRPr="00F05A7A">
        <w:rPr>
          <w:rFonts w:ascii="Arial" w:hAnsi="Arial" w:cs="Arial"/>
          <w:sz w:val="24"/>
          <w:szCs w:val="24"/>
          <w:lang w:val="en-US"/>
        </w:rPr>
        <w:t>How’s</w:t>
      </w:r>
      <w:r w:rsidRPr="00F05A7A">
        <w:rPr>
          <w:rFonts w:ascii="Arial" w:hAnsi="Arial" w:cs="Arial"/>
          <w:sz w:val="24"/>
          <w:szCs w:val="24"/>
          <w:lang w:val="en-US"/>
        </w:rPr>
        <w:t xml:space="preserve"> of International Accounting. The Accounting Review,</w:t>
      </w:r>
      <w:r w:rsidR="00D53341" w:rsidRPr="00F05A7A">
        <w:rPr>
          <w:rFonts w:ascii="Arial" w:hAnsi="Arial" w:cs="Arial"/>
          <w:sz w:val="24"/>
          <w:szCs w:val="24"/>
          <w:lang w:val="en-US"/>
        </w:rPr>
        <w:t xml:space="preserve"> </w:t>
      </w:r>
      <w:r w:rsidRPr="00F05A7A">
        <w:rPr>
          <w:rFonts w:ascii="Arial" w:hAnsi="Arial" w:cs="Arial"/>
          <w:sz w:val="24"/>
          <w:szCs w:val="24"/>
          <w:lang w:val="en-US"/>
        </w:rPr>
        <w:t>40, 386- 394.</w:t>
      </w:r>
      <w:r w:rsidR="00D53341" w:rsidRPr="00F05A7A">
        <w:rPr>
          <w:rFonts w:ascii="Arial" w:hAnsi="Arial" w:cs="Arial"/>
          <w:sz w:val="24"/>
          <w:szCs w:val="24"/>
          <w:lang w:val="en-US"/>
        </w:rPr>
        <w:t xml:space="preserve"> 1965.</w:t>
      </w:r>
    </w:p>
    <w:p w14:paraId="14519B5C" w14:textId="77777777" w:rsidR="00D53341" w:rsidRPr="00F05A7A" w:rsidRDefault="00D53341" w:rsidP="00F05A7A">
      <w:pPr>
        <w:spacing w:after="0" w:line="240" w:lineRule="auto"/>
        <w:contextualSpacing/>
        <w:rPr>
          <w:rFonts w:ascii="Arial" w:hAnsi="Arial" w:cs="Arial"/>
          <w:sz w:val="24"/>
          <w:szCs w:val="24"/>
          <w:lang w:val="en-US"/>
        </w:rPr>
      </w:pPr>
    </w:p>
    <w:p w14:paraId="486930F4" w14:textId="258DF862" w:rsidR="00333203" w:rsidRPr="00F05A7A" w:rsidRDefault="00333203" w:rsidP="00F05A7A">
      <w:pPr>
        <w:spacing w:after="0" w:line="240" w:lineRule="auto"/>
        <w:contextualSpacing/>
        <w:rPr>
          <w:rFonts w:ascii="Arial" w:hAnsi="Arial" w:cs="Arial"/>
          <w:sz w:val="24"/>
          <w:szCs w:val="24"/>
        </w:rPr>
      </w:pPr>
      <w:r w:rsidRPr="00F05A7A">
        <w:rPr>
          <w:rFonts w:ascii="Arial" w:hAnsi="Arial" w:cs="Arial"/>
          <w:sz w:val="24"/>
          <w:szCs w:val="24"/>
          <w:lang w:val="en-US"/>
        </w:rPr>
        <w:t>SÁ, A. L</w:t>
      </w:r>
      <w:r w:rsidR="00D53341" w:rsidRPr="00F05A7A">
        <w:rPr>
          <w:rFonts w:ascii="Arial" w:hAnsi="Arial" w:cs="Arial"/>
          <w:sz w:val="24"/>
          <w:szCs w:val="24"/>
          <w:lang w:val="en-US"/>
        </w:rPr>
        <w:t>opes De</w:t>
      </w:r>
      <w:r w:rsidRPr="00F05A7A">
        <w:rPr>
          <w:rFonts w:ascii="Arial" w:hAnsi="Arial" w:cs="Arial"/>
          <w:sz w:val="24"/>
          <w:szCs w:val="24"/>
          <w:lang w:val="en-US"/>
        </w:rPr>
        <w:t xml:space="preserve">. </w:t>
      </w:r>
      <w:r w:rsidRPr="00F05A7A">
        <w:rPr>
          <w:rFonts w:ascii="Arial" w:hAnsi="Arial" w:cs="Arial"/>
          <w:sz w:val="24"/>
          <w:szCs w:val="24"/>
        </w:rPr>
        <w:t>História Geral da Contabilidade no Brasil. Brasília, Conselho Federal de Contabilidade, 2008.</w:t>
      </w:r>
    </w:p>
    <w:p w14:paraId="397EB653" w14:textId="77777777" w:rsidR="00D53341" w:rsidRPr="00F05A7A" w:rsidRDefault="00D53341" w:rsidP="00F05A7A">
      <w:pPr>
        <w:spacing w:after="0" w:line="240" w:lineRule="auto"/>
        <w:contextualSpacing/>
        <w:rPr>
          <w:rFonts w:ascii="Arial" w:hAnsi="Arial" w:cs="Arial"/>
          <w:sz w:val="24"/>
          <w:szCs w:val="24"/>
        </w:rPr>
      </w:pPr>
    </w:p>
    <w:p w14:paraId="0687DEE7" w14:textId="386B4749" w:rsidR="00333203" w:rsidRPr="00F05A7A" w:rsidRDefault="00333203" w:rsidP="00F05A7A">
      <w:pPr>
        <w:spacing w:after="0" w:line="240" w:lineRule="auto"/>
        <w:contextualSpacing/>
        <w:rPr>
          <w:rFonts w:ascii="Arial" w:hAnsi="Arial" w:cs="Arial"/>
          <w:sz w:val="24"/>
          <w:szCs w:val="24"/>
        </w:rPr>
      </w:pPr>
      <w:r w:rsidRPr="00F05A7A">
        <w:rPr>
          <w:rFonts w:ascii="Arial" w:hAnsi="Arial" w:cs="Arial"/>
          <w:sz w:val="24"/>
          <w:szCs w:val="24"/>
        </w:rPr>
        <w:t>SANTOS, J. L</w:t>
      </w:r>
      <w:r w:rsidR="009D0157" w:rsidRPr="00F05A7A">
        <w:rPr>
          <w:rFonts w:ascii="Arial" w:hAnsi="Arial" w:cs="Arial"/>
          <w:sz w:val="24"/>
          <w:szCs w:val="24"/>
        </w:rPr>
        <w:t>uiz</w:t>
      </w:r>
      <w:r w:rsidRPr="00F05A7A">
        <w:rPr>
          <w:rFonts w:ascii="Arial" w:hAnsi="Arial" w:cs="Arial"/>
          <w:sz w:val="24"/>
          <w:szCs w:val="24"/>
        </w:rPr>
        <w:t xml:space="preserve"> D</w:t>
      </w:r>
      <w:r w:rsidR="009D0157" w:rsidRPr="00F05A7A">
        <w:rPr>
          <w:rFonts w:ascii="Arial" w:hAnsi="Arial" w:cs="Arial"/>
          <w:sz w:val="24"/>
          <w:szCs w:val="24"/>
        </w:rPr>
        <w:t>os</w:t>
      </w:r>
      <w:r w:rsidRPr="00F05A7A">
        <w:rPr>
          <w:rFonts w:ascii="Arial" w:hAnsi="Arial" w:cs="Arial"/>
          <w:sz w:val="24"/>
          <w:szCs w:val="24"/>
        </w:rPr>
        <w:t>; SCHMIDT, P</w:t>
      </w:r>
      <w:r w:rsidR="009D0157" w:rsidRPr="00F05A7A">
        <w:rPr>
          <w:rFonts w:ascii="Arial" w:hAnsi="Arial" w:cs="Arial"/>
          <w:sz w:val="24"/>
          <w:szCs w:val="24"/>
        </w:rPr>
        <w:t>aulo</w:t>
      </w:r>
      <w:r w:rsidRPr="00F05A7A">
        <w:rPr>
          <w:rFonts w:ascii="Arial" w:hAnsi="Arial" w:cs="Arial"/>
          <w:sz w:val="24"/>
          <w:szCs w:val="24"/>
        </w:rPr>
        <w:t>. Contabilidade Societária. 4. ed. São Paulo, Atlas, 2011.</w:t>
      </w:r>
    </w:p>
    <w:p w14:paraId="4D255C61" w14:textId="77777777" w:rsidR="00D53341" w:rsidRPr="00F05A7A" w:rsidRDefault="00D53341" w:rsidP="00F05A7A">
      <w:pPr>
        <w:spacing w:after="0" w:line="240" w:lineRule="auto"/>
        <w:contextualSpacing/>
        <w:rPr>
          <w:rFonts w:ascii="Arial" w:hAnsi="Arial" w:cs="Arial"/>
          <w:sz w:val="24"/>
          <w:szCs w:val="24"/>
        </w:rPr>
      </w:pPr>
    </w:p>
    <w:p w14:paraId="7C04783F" w14:textId="45835C5C" w:rsidR="00333203" w:rsidRPr="00F05A7A" w:rsidRDefault="00333203" w:rsidP="00F05A7A">
      <w:pPr>
        <w:spacing w:after="0" w:line="240" w:lineRule="auto"/>
        <w:contextualSpacing/>
        <w:rPr>
          <w:rFonts w:ascii="Arial" w:hAnsi="Arial" w:cs="Arial"/>
          <w:sz w:val="24"/>
          <w:szCs w:val="24"/>
        </w:rPr>
      </w:pPr>
      <w:r w:rsidRPr="00F05A7A">
        <w:rPr>
          <w:rFonts w:ascii="Arial" w:hAnsi="Arial" w:cs="Arial"/>
          <w:sz w:val="24"/>
          <w:szCs w:val="24"/>
        </w:rPr>
        <w:t>SOARES, D. J</w:t>
      </w:r>
      <w:r w:rsidR="009D0157" w:rsidRPr="00F05A7A">
        <w:rPr>
          <w:rFonts w:ascii="Arial" w:hAnsi="Arial" w:cs="Arial"/>
          <w:sz w:val="24"/>
          <w:szCs w:val="24"/>
        </w:rPr>
        <w:t>osé</w:t>
      </w:r>
      <w:r w:rsidRPr="00F05A7A">
        <w:rPr>
          <w:rFonts w:ascii="Arial" w:hAnsi="Arial" w:cs="Arial"/>
          <w:sz w:val="24"/>
          <w:szCs w:val="24"/>
        </w:rPr>
        <w:t>. Estrutura Conceitual Básica para a Elaboração e Apresentação das Demonstrações Contábeis. 1 ed. São Paulo, IOB, 2011.</w:t>
      </w:r>
    </w:p>
    <w:p w14:paraId="5E3F3ECB" w14:textId="77777777" w:rsidR="00843406" w:rsidRPr="00F05A7A" w:rsidRDefault="00843406" w:rsidP="00F05A7A">
      <w:pPr>
        <w:spacing w:after="0" w:line="240" w:lineRule="auto"/>
        <w:contextualSpacing/>
        <w:jc w:val="both"/>
        <w:rPr>
          <w:rFonts w:ascii="Arial" w:hAnsi="Arial" w:cs="Arial"/>
          <w:sz w:val="24"/>
          <w:szCs w:val="24"/>
        </w:rPr>
      </w:pPr>
    </w:p>
    <w:p w14:paraId="66C8DAEF" w14:textId="77777777" w:rsidR="00075B6D" w:rsidRPr="00F05A7A" w:rsidRDefault="00075B6D" w:rsidP="00F05A7A">
      <w:pPr>
        <w:spacing w:after="0" w:line="240" w:lineRule="auto"/>
        <w:contextualSpacing/>
        <w:jc w:val="both"/>
        <w:rPr>
          <w:rFonts w:ascii="Arial" w:hAnsi="Arial" w:cs="Arial"/>
          <w:sz w:val="24"/>
          <w:szCs w:val="24"/>
        </w:rPr>
      </w:pPr>
    </w:p>
    <w:p w14:paraId="4283DF96" w14:textId="77777777" w:rsidR="00075B6D" w:rsidRPr="00F05A7A" w:rsidRDefault="00075B6D" w:rsidP="00F05A7A">
      <w:pPr>
        <w:spacing w:after="0" w:line="240" w:lineRule="auto"/>
        <w:contextualSpacing/>
        <w:jc w:val="both"/>
        <w:rPr>
          <w:rFonts w:ascii="Arial" w:hAnsi="Arial" w:cs="Arial"/>
          <w:sz w:val="24"/>
          <w:szCs w:val="24"/>
        </w:rPr>
      </w:pPr>
    </w:p>
    <w:p w14:paraId="58255263" w14:textId="77777777" w:rsidR="00075B6D" w:rsidRPr="00F05A7A" w:rsidRDefault="00075B6D" w:rsidP="00F05A7A">
      <w:pPr>
        <w:spacing w:after="0" w:line="240" w:lineRule="auto"/>
        <w:contextualSpacing/>
        <w:jc w:val="both"/>
        <w:rPr>
          <w:rFonts w:ascii="Arial" w:hAnsi="Arial" w:cs="Arial"/>
          <w:sz w:val="24"/>
          <w:szCs w:val="24"/>
        </w:rPr>
      </w:pPr>
    </w:p>
    <w:sectPr w:rsidR="00075B6D" w:rsidRPr="00F05A7A" w:rsidSect="00143027">
      <w:headerReference w:type="default" r:id="rId27"/>
      <w:headerReference w:type="first" r:id="rId28"/>
      <w:footerReference w:type="first" r:id="rId29"/>
      <w:pgSz w:w="11906" w:h="16838" w:code="9"/>
      <w:pgMar w:top="1701" w:right="1134" w:bottom="1134" w:left="1701" w:header="1134" w:footer="1134"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399F6" w14:textId="77777777" w:rsidR="00F954E6" w:rsidRDefault="00F954E6" w:rsidP="00B126DB">
      <w:pPr>
        <w:spacing w:after="0" w:line="240" w:lineRule="auto"/>
      </w:pPr>
      <w:r>
        <w:separator/>
      </w:r>
    </w:p>
  </w:endnote>
  <w:endnote w:type="continuationSeparator" w:id="0">
    <w:p w14:paraId="3EC4824A" w14:textId="77777777" w:rsidR="00F954E6" w:rsidRDefault="00F954E6" w:rsidP="00B1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1D041" w14:textId="77777777" w:rsidR="00265D11" w:rsidRDefault="00265D11" w:rsidP="00143027">
    <w:pPr>
      <w:pStyle w:val="Rodap"/>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13067" w14:textId="77777777" w:rsidR="00F954E6" w:rsidRDefault="00F954E6" w:rsidP="00B126DB">
      <w:pPr>
        <w:spacing w:after="0" w:line="240" w:lineRule="auto"/>
      </w:pPr>
      <w:r>
        <w:separator/>
      </w:r>
    </w:p>
  </w:footnote>
  <w:footnote w:type="continuationSeparator" w:id="0">
    <w:p w14:paraId="5F54CA84" w14:textId="77777777" w:rsidR="00F954E6" w:rsidRDefault="00F954E6" w:rsidP="00B126DB">
      <w:pPr>
        <w:spacing w:after="0" w:line="240" w:lineRule="auto"/>
      </w:pPr>
      <w:r>
        <w:continuationSeparator/>
      </w:r>
    </w:p>
  </w:footnote>
  <w:footnote w:id="1">
    <w:p w14:paraId="7F4353F5" w14:textId="18A3090E" w:rsidR="00FA2C90" w:rsidRPr="00FA2C90" w:rsidRDefault="00FA2C90" w:rsidP="00FA2C90">
      <w:pPr>
        <w:pStyle w:val="Textodenotaderodap"/>
        <w:jc w:val="both"/>
        <w:rPr>
          <w:rFonts w:ascii="Arial" w:hAnsi="Arial" w:cs="Arial"/>
          <w:sz w:val="22"/>
          <w:szCs w:val="22"/>
        </w:rPr>
      </w:pPr>
      <w:r w:rsidRPr="00FA2C90">
        <w:rPr>
          <w:rStyle w:val="Refdenotaderodap"/>
          <w:rFonts w:ascii="Arial" w:hAnsi="Arial" w:cs="Arial"/>
          <w:sz w:val="22"/>
          <w:szCs w:val="22"/>
        </w:rPr>
        <w:footnoteRef/>
      </w:r>
      <w:r w:rsidRPr="00FA2C90">
        <w:rPr>
          <w:rFonts w:ascii="Arial" w:hAnsi="Arial" w:cs="Arial"/>
          <w:sz w:val="22"/>
          <w:szCs w:val="22"/>
        </w:rPr>
        <w:t xml:space="preserve"> </w:t>
      </w:r>
      <w:r w:rsidRPr="00FA2C90">
        <w:rPr>
          <w:rFonts w:ascii="Arial" w:hAnsi="Arial" w:cs="Arial"/>
          <w:sz w:val="22"/>
          <w:szCs w:val="22"/>
        </w:rPr>
        <w:t xml:space="preserve">Acadêmica do </w:t>
      </w:r>
      <w:r w:rsidRPr="00FA2C90">
        <w:rPr>
          <w:rFonts w:ascii="Arial" w:hAnsi="Arial" w:cs="Arial"/>
          <w:sz w:val="22"/>
          <w:szCs w:val="22"/>
        </w:rPr>
        <w:t xml:space="preserve">6º semestre do </w:t>
      </w:r>
      <w:r w:rsidRPr="00FA2C90">
        <w:rPr>
          <w:rFonts w:ascii="Arial" w:hAnsi="Arial" w:cs="Arial"/>
          <w:sz w:val="22"/>
          <w:szCs w:val="22"/>
        </w:rPr>
        <w:t xml:space="preserve">Curso de </w:t>
      </w:r>
      <w:r w:rsidRPr="00FA2C90">
        <w:rPr>
          <w:rFonts w:ascii="Arial" w:hAnsi="Arial" w:cs="Arial"/>
          <w:sz w:val="22"/>
          <w:szCs w:val="22"/>
        </w:rPr>
        <w:t>Ciências Contábeis da Faculdade La Salle</w:t>
      </w:r>
      <w:r w:rsidRPr="00FA2C90">
        <w:rPr>
          <w:rFonts w:ascii="Arial" w:hAnsi="Arial" w:cs="Arial"/>
          <w:sz w:val="22"/>
          <w:szCs w:val="22"/>
        </w:rPr>
        <w:t xml:space="preserve">. E-mail: </w:t>
      </w:r>
      <w:hyperlink r:id="rId1" w:history="1">
        <w:r w:rsidRPr="00FA2C90">
          <w:rPr>
            <w:rStyle w:val="Hyperlink"/>
            <w:rFonts w:ascii="Arial" w:hAnsi="Arial" w:cs="Arial"/>
            <w:color w:val="auto"/>
            <w:sz w:val="22"/>
            <w:szCs w:val="22"/>
            <w:u w:val="none"/>
          </w:rPr>
          <w:t>daia.naiara.rodrigues@hotmail.com</w:t>
        </w:r>
      </w:hyperlink>
      <w:r w:rsidRPr="00FA2C90">
        <w:rPr>
          <w:rFonts w:ascii="Arial" w:hAnsi="Arial" w:cs="Arial"/>
          <w:sz w:val="22"/>
          <w:szCs w:val="22"/>
        </w:rPr>
        <w:t>. Artigo vencedor do X Concurso de Artigos de Iniciação Científica da Faculdade La Salle, 2018</w:t>
      </w:r>
      <w:r w:rsidRPr="00FA2C90">
        <w:rPr>
          <w:rFonts w:ascii="Arial" w:hAnsi="Arial" w:cs="Arial"/>
          <w:sz w:val="22"/>
          <w:szCs w:val="22"/>
        </w:rPr>
        <w:t>.</w:t>
      </w:r>
    </w:p>
  </w:footnote>
  <w:footnote w:id="2">
    <w:p w14:paraId="72C6CD9F" w14:textId="07B8D335" w:rsidR="00FA2C90" w:rsidRPr="00FA2C90" w:rsidRDefault="00FA2C90" w:rsidP="00FA2C90">
      <w:pPr>
        <w:pStyle w:val="Textodenotaderodap"/>
        <w:jc w:val="both"/>
        <w:rPr>
          <w:rFonts w:ascii="Arial" w:hAnsi="Arial" w:cs="Arial"/>
          <w:sz w:val="22"/>
          <w:szCs w:val="22"/>
        </w:rPr>
      </w:pPr>
      <w:r w:rsidRPr="00FA2C90">
        <w:rPr>
          <w:rStyle w:val="Refdenotaderodap"/>
          <w:rFonts w:ascii="Arial" w:hAnsi="Arial" w:cs="Arial"/>
          <w:sz w:val="22"/>
          <w:szCs w:val="22"/>
        </w:rPr>
        <w:footnoteRef/>
      </w:r>
      <w:r w:rsidRPr="00FA2C90">
        <w:rPr>
          <w:rFonts w:ascii="Arial" w:hAnsi="Arial" w:cs="Arial"/>
          <w:sz w:val="22"/>
          <w:szCs w:val="22"/>
        </w:rPr>
        <w:t xml:space="preserve"> Mestre em Ciências Contábeis. Professora orientadora do artigo. E-mail: fabiane.popik@faculdadelasalle.edu.br</w:t>
      </w:r>
    </w:p>
  </w:footnote>
  <w:footnote w:id="3">
    <w:p w14:paraId="27CD920B" w14:textId="5944756D" w:rsidR="00265D11" w:rsidRPr="00085D21" w:rsidRDefault="00265D11" w:rsidP="00BB2020">
      <w:pPr>
        <w:pStyle w:val="Textodenotaderodap"/>
        <w:jc w:val="both"/>
        <w:rPr>
          <w:rFonts w:ascii="Arial" w:hAnsi="Arial" w:cs="Arial"/>
          <w:sz w:val="22"/>
        </w:rPr>
      </w:pPr>
      <w:r w:rsidRPr="00085D21">
        <w:rPr>
          <w:rStyle w:val="Refdenotaderodap"/>
          <w:rFonts w:ascii="Arial" w:hAnsi="Arial" w:cs="Arial"/>
          <w:sz w:val="22"/>
        </w:rPr>
        <w:footnoteRef/>
      </w:r>
      <w:r w:rsidRPr="00085D21">
        <w:rPr>
          <w:rFonts w:ascii="Arial" w:hAnsi="Arial" w:cs="Arial"/>
          <w:sz w:val="22"/>
        </w:rPr>
        <w:t xml:space="preserve"> A B3, que teve por muitos anos seu nome como BM&amp;FBOVESPA, é uma companhia que tem por objetivos principal administrar mercados organizados de Títulos e Valores Mobiliários, além dos Contratos Derivativos. No mais, atua também como garantidora de liquidações das operações que são realizadas nela dela. </w:t>
      </w:r>
    </w:p>
  </w:footnote>
  <w:footnote w:id="4">
    <w:p w14:paraId="0F71016D" w14:textId="26B4DFC7" w:rsidR="00265D11" w:rsidRPr="00085D21" w:rsidRDefault="00265D11" w:rsidP="00085D21">
      <w:pPr>
        <w:pStyle w:val="Textodenotaderodap"/>
        <w:jc w:val="both"/>
        <w:rPr>
          <w:rFonts w:ascii="Arial" w:hAnsi="Arial" w:cs="Arial"/>
          <w:sz w:val="22"/>
        </w:rPr>
      </w:pPr>
      <w:r w:rsidRPr="00085D21">
        <w:rPr>
          <w:rStyle w:val="Refdenotaderodap"/>
          <w:rFonts w:ascii="Arial" w:hAnsi="Arial" w:cs="Arial"/>
          <w:sz w:val="22"/>
        </w:rPr>
        <w:footnoteRef/>
      </w:r>
      <w:r w:rsidRPr="00085D21">
        <w:rPr>
          <w:rFonts w:ascii="Arial" w:hAnsi="Arial" w:cs="Arial"/>
          <w:sz w:val="22"/>
        </w:rPr>
        <w:t xml:space="preserve"> A Comissão de Valores Mobiliários.</w:t>
      </w:r>
    </w:p>
  </w:footnote>
  <w:footnote w:id="5">
    <w:p w14:paraId="268A37EB" w14:textId="7C4D9E64" w:rsidR="00265D11" w:rsidRPr="00085D21" w:rsidRDefault="00265D11" w:rsidP="00085D21">
      <w:pPr>
        <w:pStyle w:val="Textodenotaderodap"/>
        <w:jc w:val="both"/>
        <w:rPr>
          <w:rFonts w:ascii="Arial" w:hAnsi="Arial" w:cs="Arial"/>
          <w:sz w:val="22"/>
        </w:rPr>
      </w:pPr>
      <w:r w:rsidRPr="00085D21">
        <w:rPr>
          <w:rStyle w:val="Refdenotaderodap"/>
          <w:rFonts w:ascii="Arial" w:hAnsi="Arial" w:cs="Arial"/>
          <w:sz w:val="22"/>
        </w:rPr>
        <w:footnoteRef/>
      </w:r>
      <w:r w:rsidRPr="00085D21">
        <w:rPr>
          <w:rFonts w:ascii="Arial" w:hAnsi="Arial" w:cs="Arial"/>
          <w:sz w:val="22"/>
        </w:rPr>
        <w:t xml:space="preserve"> O Conselho Federal de Contabilidade.</w:t>
      </w:r>
    </w:p>
  </w:footnote>
  <w:footnote w:id="6">
    <w:p w14:paraId="773AB6E1" w14:textId="10C1A9F7" w:rsidR="00265D11" w:rsidRPr="00085D21" w:rsidRDefault="00265D11" w:rsidP="00085D21">
      <w:pPr>
        <w:pStyle w:val="Textodenotaderodap"/>
        <w:jc w:val="both"/>
        <w:rPr>
          <w:rFonts w:ascii="Arial" w:hAnsi="Arial" w:cs="Arial"/>
          <w:sz w:val="22"/>
        </w:rPr>
      </w:pPr>
      <w:r w:rsidRPr="00085D21">
        <w:rPr>
          <w:rStyle w:val="Refdenotaderodap"/>
          <w:rFonts w:ascii="Arial" w:hAnsi="Arial" w:cs="Arial"/>
          <w:sz w:val="22"/>
        </w:rPr>
        <w:footnoteRef/>
      </w:r>
      <w:r w:rsidRPr="00085D21">
        <w:rPr>
          <w:rFonts w:ascii="Arial" w:hAnsi="Arial" w:cs="Arial"/>
          <w:sz w:val="22"/>
        </w:rPr>
        <w:t xml:space="preserve"> O Instituto dos Auditores Independentes do Brasil.</w:t>
      </w:r>
    </w:p>
  </w:footnote>
  <w:footnote w:id="7">
    <w:p w14:paraId="1F37C56B" w14:textId="6FDDCCDD" w:rsidR="00265D11" w:rsidRPr="00085D21" w:rsidRDefault="00265D11" w:rsidP="00085D21">
      <w:pPr>
        <w:pStyle w:val="Textodenotaderodap"/>
        <w:jc w:val="both"/>
        <w:rPr>
          <w:rFonts w:ascii="Arial" w:hAnsi="Arial" w:cs="Arial"/>
          <w:sz w:val="22"/>
        </w:rPr>
      </w:pPr>
      <w:r w:rsidRPr="00085D21">
        <w:rPr>
          <w:rStyle w:val="Refdenotaderodap"/>
          <w:rFonts w:ascii="Arial" w:hAnsi="Arial" w:cs="Arial"/>
          <w:sz w:val="22"/>
        </w:rPr>
        <w:footnoteRef/>
      </w:r>
      <w:r w:rsidRPr="00085D21">
        <w:rPr>
          <w:rFonts w:ascii="Arial" w:hAnsi="Arial" w:cs="Arial"/>
          <w:sz w:val="22"/>
        </w:rPr>
        <w:t xml:space="preserve"> Banco Central do Brasil.</w:t>
      </w:r>
    </w:p>
  </w:footnote>
  <w:footnote w:id="8">
    <w:p w14:paraId="6073E0B5" w14:textId="4F7248F6" w:rsidR="00265D11" w:rsidRPr="00085D21" w:rsidRDefault="00265D11" w:rsidP="00085D21">
      <w:pPr>
        <w:pStyle w:val="Textodenotaderodap"/>
        <w:jc w:val="both"/>
        <w:rPr>
          <w:rFonts w:ascii="Arial" w:hAnsi="Arial" w:cs="Arial"/>
          <w:sz w:val="22"/>
        </w:rPr>
      </w:pPr>
      <w:r w:rsidRPr="00085D21">
        <w:rPr>
          <w:rStyle w:val="Refdenotaderodap"/>
          <w:rFonts w:ascii="Arial" w:hAnsi="Arial" w:cs="Arial"/>
          <w:sz w:val="22"/>
        </w:rPr>
        <w:footnoteRef/>
      </w:r>
      <w:r w:rsidRPr="00085D21">
        <w:rPr>
          <w:rFonts w:ascii="Arial" w:hAnsi="Arial" w:cs="Arial"/>
          <w:sz w:val="22"/>
        </w:rPr>
        <w:t xml:space="preserve"> Secretaria da Previdência Complementar.</w:t>
      </w:r>
    </w:p>
  </w:footnote>
  <w:footnote w:id="9">
    <w:p w14:paraId="3BCBC9B3" w14:textId="45C43853" w:rsidR="00265D11" w:rsidRPr="00085D21" w:rsidRDefault="00265D11" w:rsidP="00085D21">
      <w:pPr>
        <w:pStyle w:val="Textodenotaderodap"/>
        <w:jc w:val="both"/>
        <w:rPr>
          <w:rFonts w:ascii="Arial" w:hAnsi="Arial" w:cs="Arial"/>
          <w:sz w:val="22"/>
        </w:rPr>
      </w:pPr>
      <w:r w:rsidRPr="00085D21">
        <w:rPr>
          <w:rStyle w:val="Refdenotaderodap"/>
          <w:rFonts w:ascii="Arial" w:hAnsi="Arial" w:cs="Arial"/>
          <w:sz w:val="22"/>
        </w:rPr>
        <w:footnoteRef/>
      </w:r>
      <w:r w:rsidRPr="00085D21">
        <w:rPr>
          <w:rFonts w:ascii="Arial" w:hAnsi="Arial" w:cs="Arial"/>
          <w:sz w:val="22"/>
        </w:rPr>
        <w:t xml:space="preserve"> Superintendência de Seguros Privados.</w:t>
      </w:r>
    </w:p>
  </w:footnote>
  <w:footnote w:id="10">
    <w:p w14:paraId="4A7A7070" w14:textId="2E590E07" w:rsidR="00265D11" w:rsidRPr="00085D21" w:rsidRDefault="00265D11" w:rsidP="00085D21">
      <w:pPr>
        <w:pStyle w:val="Textodenotaderodap"/>
        <w:jc w:val="both"/>
        <w:rPr>
          <w:rFonts w:ascii="Arial" w:hAnsi="Arial" w:cs="Arial"/>
          <w:sz w:val="22"/>
        </w:rPr>
      </w:pPr>
      <w:r w:rsidRPr="00085D21">
        <w:rPr>
          <w:rStyle w:val="Refdenotaderodap"/>
          <w:rFonts w:ascii="Arial" w:hAnsi="Arial" w:cs="Arial"/>
          <w:sz w:val="22"/>
        </w:rPr>
        <w:footnoteRef/>
      </w:r>
      <w:r w:rsidRPr="00085D21">
        <w:rPr>
          <w:rFonts w:ascii="Arial" w:hAnsi="Arial" w:cs="Arial"/>
          <w:sz w:val="22"/>
        </w:rPr>
        <w:t xml:space="preserve"> Agência Nacional de Energia Elétrica</w:t>
      </w:r>
    </w:p>
  </w:footnote>
  <w:footnote w:id="11">
    <w:p w14:paraId="3087383F" w14:textId="77777777" w:rsidR="00265D11" w:rsidRPr="00D851A8" w:rsidRDefault="00265D11" w:rsidP="00D851A8">
      <w:pPr>
        <w:pStyle w:val="Textodenotaderodap"/>
        <w:jc w:val="both"/>
        <w:rPr>
          <w:rFonts w:ascii="Arial" w:hAnsi="Arial" w:cs="Arial"/>
          <w:sz w:val="22"/>
        </w:rPr>
      </w:pPr>
      <w:r w:rsidRPr="00D851A8">
        <w:rPr>
          <w:rStyle w:val="Refdenotaderodap"/>
          <w:rFonts w:ascii="Arial" w:hAnsi="Arial" w:cs="Arial"/>
          <w:sz w:val="22"/>
        </w:rPr>
        <w:footnoteRef/>
      </w:r>
      <w:r w:rsidRPr="00D851A8">
        <w:rPr>
          <w:rFonts w:ascii="Arial" w:hAnsi="Arial" w:cs="Arial"/>
          <w:sz w:val="22"/>
        </w:rPr>
        <w:t xml:space="preserve"> Um segundo entendimento do que são as demonstrações contábeis; passou a receber este nome após a Lei 6.404/76, conhecida também como Lei das Sociedades por Ação.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02505395"/>
      <w:docPartObj>
        <w:docPartGallery w:val="Page Numbers (Top of Page)"/>
        <w:docPartUnique/>
      </w:docPartObj>
    </w:sdtPr>
    <w:sdtEndPr/>
    <w:sdtContent>
      <w:p w14:paraId="28962E28" w14:textId="54C816ED" w:rsidR="00265D11" w:rsidRPr="001876F3" w:rsidRDefault="00265D11">
        <w:pPr>
          <w:pStyle w:val="Cabealho"/>
          <w:jc w:val="right"/>
          <w:rPr>
            <w:rFonts w:ascii="Arial" w:hAnsi="Arial" w:cs="Arial"/>
            <w:sz w:val="20"/>
            <w:szCs w:val="20"/>
          </w:rPr>
        </w:pPr>
        <w:r w:rsidRPr="001876F3">
          <w:rPr>
            <w:rFonts w:ascii="Arial" w:hAnsi="Arial" w:cs="Arial"/>
            <w:sz w:val="20"/>
            <w:szCs w:val="20"/>
          </w:rPr>
          <w:fldChar w:fldCharType="begin"/>
        </w:r>
        <w:r w:rsidRPr="001876F3">
          <w:rPr>
            <w:rFonts w:ascii="Arial" w:hAnsi="Arial" w:cs="Arial"/>
            <w:sz w:val="20"/>
            <w:szCs w:val="20"/>
          </w:rPr>
          <w:instrText>PAGE   \* MERGEFORMAT</w:instrText>
        </w:r>
        <w:r w:rsidRPr="001876F3">
          <w:rPr>
            <w:rFonts w:ascii="Arial" w:hAnsi="Arial" w:cs="Arial"/>
            <w:sz w:val="20"/>
            <w:szCs w:val="20"/>
          </w:rPr>
          <w:fldChar w:fldCharType="separate"/>
        </w:r>
        <w:r w:rsidR="00A35234">
          <w:rPr>
            <w:rFonts w:ascii="Arial" w:hAnsi="Arial" w:cs="Arial"/>
            <w:noProof/>
            <w:sz w:val="20"/>
            <w:szCs w:val="20"/>
          </w:rPr>
          <w:t>24</w:t>
        </w:r>
        <w:r w:rsidRPr="001876F3">
          <w:rPr>
            <w:rFonts w:ascii="Arial" w:hAnsi="Arial" w:cs="Arial"/>
            <w:sz w:val="20"/>
            <w:szCs w:val="20"/>
          </w:rPr>
          <w:fldChar w:fldCharType="end"/>
        </w:r>
      </w:p>
    </w:sdtContent>
  </w:sdt>
  <w:p w14:paraId="24757E1D" w14:textId="77777777" w:rsidR="00265D11" w:rsidRPr="001876F3" w:rsidRDefault="00265D11">
    <w:pPr>
      <w:pStyle w:val="Cabealho"/>
      <w:rPr>
        <w:rFonts w:ascii="Arial" w:hAnsi="Arial" w:cs="Arial"/>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708"/>
      <w:docPartObj>
        <w:docPartGallery w:val="Page Numbers (Top of Page)"/>
        <w:docPartUnique/>
      </w:docPartObj>
    </w:sdtPr>
    <w:sdtEndPr>
      <w:rPr>
        <w:rFonts w:ascii="Arial" w:hAnsi="Arial" w:cs="Arial"/>
        <w:sz w:val="24"/>
        <w:szCs w:val="24"/>
      </w:rPr>
    </w:sdtEndPr>
    <w:sdtContent>
      <w:p w14:paraId="5A6EB630" w14:textId="5DEBB2B7" w:rsidR="00265D11" w:rsidRPr="002A05D9" w:rsidRDefault="00265D11">
        <w:pPr>
          <w:pStyle w:val="Cabealho"/>
          <w:jc w:val="right"/>
          <w:rPr>
            <w:rFonts w:ascii="Arial" w:hAnsi="Arial" w:cs="Arial"/>
            <w:sz w:val="24"/>
            <w:szCs w:val="24"/>
          </w:rPr>
        </w:pPr>
        <w:r w:rsidRPr="002A05D9">
          <w:rPr>
            <w:rFonts w:ascii="Arial" w:hAnsi="Arial" w:cs="Arial"/>
            <w:sz w:val="24"/>
            <w:szCs w:val="24"/>
          </w:rPr>
          <w:fldChar w:fldCharType="begin"/>
        </w:r>
        <w:r w:rsidRPr="002A05D9">
          <w:rPr>
            <w:rFonts w:ascii="Arial" w:hAnsi="Arial" w:cs="Arial"/>
            <w:sz w:val="24"/>
            <w:szCs w:val="24"/>
          </w:rPr>
          <w:instrText>PAGE   \* MERGEFORMAT</w:instrText>
        </w:r>
        <w:r w:rsidRPr="002A05D9">
          <w:rPr>
            <w:rFonts w:ascii="Arial" w:hAnsi="Arial" w:cs="Arial"/>
            <w:sz w:val="24"/>
            <w:szCs w:val="24"/>
          </w:rPr>
          <w:fldChar w:fldCharType="separate"/>
        </w:r>
        <w:r w:rsidR="00F05A7A">
          <w:rPr>
            <w:rFonts w:ascii="Arial" w:hAnsi="Arial" w:cs="Arial"/>
            <w:noProof/>
            <w:sz w:val="24"/>
            <w:szCs w:val="24"/>
          </w:rPr>
          <w:t>1</w:t>
        </w:r>
        <w:r w:rsidRPr="002A05D9">
          <w:rPr>
            <w:rFonts w:ascii="Arial" w:hAnsi="Arial" w:cs="Arial"/>
            <w:sz w:val="24"/>
            <w:szCs w:val="24"/>
          </w:rPr>
          <w:fldChar w:fldCharType="end"/>
        </w:r>
      </w:p>
    </w:sdtContent>
  </w:sdt>
  <w:p w14:paraId="64503F74" w14:textId="77777777" w:rsidR="00265D11" w:rsidRPr="001F4FDA" w:rsidRDefault="00265D11">
    <w:pPr>
      <w:pStyle w:val="Cabealh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582"/>
    <w:multiLevelType w:val="multilevel"/>
    <w:tmpl w:val="561AA0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7454C"/>
    <w:multiLevelType w:val="hybridMultilevel"/>
    <w:tmpl w:val="6038A01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13A54864"/>
    <w:multiLevelType w:val="multilevel"/>
    <w:tmpl w:val="D2FCC2E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54649B"/>
    <w:multiLevelType w:val="multilevel"/>
    <w:tmpl w:val="F0465B9E"/>
    <w:lvl w:ilvl="0">
      <w:start w:val="1"/>
      <w:numFmt w:val="decimal"/>
      <w:lvlText w:val="%1."/>
      <w:lvlJc w:val="left"/>
      <w:pPr>
        <w:ind w:left="360" w:hanging="360"/>
      </w:pPr>
      <w:rPr>
        <w:rFonts w:hint="default"/>
      </w:rPr>
    </w:lvl>
    <w:lvl w:ilvl="1">
      <w:start w:val="1"/>
      <w:numFmt w:val="decimal"/>
      <w:isLgl/>
      <w:lvlText w:val="%1.%2"/>
      <w:lvlJc w:val="left"/>
      <w:pPr>
        <w:ind w:left="1068" w:hanging="72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832" w:hanging="144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888"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944" w:hanging="2160"/>
      </w:pPr>
      <w:rPr>
        <w:rFonts w:hint="default"/>
      </w:rPr>
    </w:lvl>
  </w:abstractNum>
  <w:abstractNum w:abstractNumId="4" w15:restartNumberingAfterBreak="0">
    <w:nsid w:val="29084398"/>
    <w:multiLevelType w:val="hybridMultilevel"/>
    <w:tmpl w:val="33C46478"/>
    <w:lvl w:ilvl="0" w:tplc="160AF16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E90075"/>
    <w:multiLevelType w:val="hybridMultilevel"/>
    <w:tmpl w:val="0D8AE91C"/>
    <w:lvl w:ilvl="0" w:tplc="D54409D2">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6" w15:restartNumberingAfterBreak="0">
    <w:nsid w:val="366C0F15"/>
    <w:multiLevelType w:val="hybridMultilevel"/>
    <w:tmpl w:val="7F6A869C"/>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4CB2027A"/>
    <w:multiLevelType w:val="hybridMultilevel"/>
    <w:tmpl w:val="2FAC20A8"/>
    <w:lvl w:ilvl="0" w:tplc="2A5EB6A4">
      <w:start w:val="1"/>
      <w:numFmt w:val="lowerLetter"/>
      <w:lvlText w:val="%1)"/>
      <w:lvlJc w:val="left"/>
      <w:pPr>
        <w:ind w:left="1416" w:hanging="360"/>
      </w:pPr>
      <w:rPr>
        <w:rFonts w:hint="default"/>
      </w:rPr>
    </w:lvl>
    <w:lvl w:ilvl="1" w:tplc="04160019" w:tentative="1">
      <w:start w:val="1"/>
      <w:numFmt w:val="lowerLetter"/>
      <w:lvlText w:val="%2."/>
      <w:lvlJc w:val="left"/>
      <w:pPr>
        <w:ind w:left="2136" w:hanging="360"/>
      </w:pPr>
    </w:lvl>
    <w:lvl w:ilvl="2" w:tplc="0416001B" w:tentative="1">
      <w:start w:val="1"/>
      <w:numFmt w:val="lowerRoman"/>
      <w:lvlText w:val="%3."/>
      <w:lvlJc w:val="right"/>
      <w:pPr>
        <w:ind w:left="2856" w:hanging="180"/>
      </w:pPr>
    </w:lvl>
    <w:lvl w:ilvl="3" w:tplc="0416000F" w:tentative="1">
      <w:start w:val="1"/>
      <w:numFmt w:val="decimal"/>
      <w:lvlText w:val="%4."/>
      <w:lvlJc w:val="left"/>
      <w:pPr>
        <w:ind w:left="3576" w:hanging="360"/>
      </w:pPr>
    </w:lvl>
    <w:lvl w:ilvl="4" w:tplc="04160019" w:tentative="1">
      <w:start w:val="1"/>
      <w:numFmt w:val="lowerLetter"/>
      <w:lvlText w:val="%5."/>
      <w:lvlJc w:val="left"/>
      <w:pPr>
        <w:ind w:left="4296" w:hanging="360"/>
      </w:pPr>
    </w:lvl>
    <w:lvl w:ilvl="5" w:tplc="0416001B" w:tentative="1">
      <w:start w:val="1"/>
      <w:numFmt w:val="lowerRoman"/>
      <w:lvlText w:val="%6."/>
      <w:lvlJc w:val="right"/>
      <w:pPr>
        <w:ind w:left="5016" w:hanging="180"/>
      </w:pPr>
    </w:lvl>
    <w:lvl w:ilvl="6" w:tplc="0416000F" w:tentative="1">
      <w:start w:val="1"/>
      <w:numFmt w:val="decimal"/>
      <w:lvlText w:val="%7."/>
      <w:lvlJc w:val="left"/>
      <w:pPr>
        <w:ind w:left="5736" w:hanging="360"/>
      </w:pPr>
    </w:lvl>
    <w:lvl w:ilvl="7" w:tplc="04160019" w:tentative="1">
      <w:start w:val="1"/>
      <w:numFmt w:val="lowerLetter"/>
      <w:lvlText w:val="%8."/>
      <w:lvlJc w:val="left"/>
      <w:pPr>
        <w:ind w:left="6456" w:hanging="360"/>
      </w:pPr>
    </w:lvl>
    <w:lvl w:ilvl="8" w:tplc="0416001B" w:tentative="1">
      <w:start w:val="1"/>
      <w:numFmt w:val="lowerRoman"/>
      <w:lvlText w:val="%9."/>
      <w:lvlJc w:val="right"/>
      <w:pPr>
        <w:ind w:left="7176" w:hanging="180"/>
      </w:pPr>
    </w:lvl>
  </w:abstractNum>
  <w:abstractNum w:abstractNumId="8" w15:restartNumberingAfterBreak="0">
    <w:nsid w:val="5D44427C"/>
    <w:multiLevelType w:val="hybridMultilevel"/>
    <w:tmpl w:val="A2EE1010"/>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65AD67E2"/>
    <w:multiLevelType w:val="multilevel"/>
    <w:tmpl w:val="2D9E7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253DD8"/>
    <w:multiLevelType w:val="hybridMultilevel"/>
    <w:tmpl w:val="9CAA8ECC"/>
    <w:lvl w:ilvl="0" w:tplc="2012D0C4">
      <w:numFmt w:val="bullet"/>
      <w:lvlText w:val=""/>
      <w:lvlJc w:val="left"/>
      <w:pPr>
        <w:ind w:left="927" w:hanging="360"/>
      </w:pPr>
      <w:rPr>
        <w:rFonts w:ascii="Wingdings" w:eastAsiaTheme="minorHAnsi" w:hAnsi="Wingdings"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1" w15:restartNumberingAfterBreak="0">
    <w:nsid w:val="6D407B9A"/>
    <w:multiLevelType w:val="hybridMultilevel"/>
    <w:tmpl w:val="5274BC1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702E69DC"/>
    <w:multiLevelType w:val="multilevel"/>
    <w:tmpl w:val="F0465B9E"/>
    <w:lvl w:ilvl="0">
      <w:start w:val="1"/>
      <w:numFmt w:val="decimal"/>
      <w:lvlText w:val="%1."/>
      <w:lvlJc w:val="left"/>
      <w:pPr>
        <w:ind w:left="360" w:hanging="360"/>
      </w:pPr>
      <w:rPr>
        <w:rFonts w:hint="default"/>
      </w:rPr>
    </w:lvl>
    <w:lvl w:ilvl="1">
      <w:start w:val="1"/>
      <w:numFmt w:val="decimal"/>
      <w:isLgl/>
      <w:lvlText w:val="%1.%2"/>
      <w:lvlJc w:val="left"/>
      <w:pPr>
        <w:ind w:left="1068" w:hanging="72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832" w:hanging="144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888"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944" w:hanging="2160"/>
      </w:pPr>
      <w:rPr>
        <w:rFonts w:hint="default"/>
      </w:rPr>
    </w:lvl>
  </w:abstractNum>
  <w:abstractNum w:abstractNumId="13" w15:restartNumberingAfterBreak="0">
    <w:nsid w:val="742F7DFD"/>
    <w:multiLevelType w:val="hybridMultilevel"/>
    <w:tmpl w:val="403A6F72"/>
    <w:lvl w:ilvl="0" w:tplc="2A5EB6A4">
      <w:start w:val="1"/>
      <w:numFmt w:val="lowerLetter"/>
      <w:lvlText w:val="%1)"/>
      <w:lvlJc w:val="left"/>
      <w:pPr>
        <w:ind w:left="1068"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14" w15:restartNumberingAfterBreak="0">
    <w:nsid w:val="78AA6DF5"/>
    <w:multiLevelType w:val="hybridMultilevel"/>
    <w:tmpl w:val="1C52E41E"/>
    <w:lvl w:ilvl="0" w:tplc="AA04EB80">
      <w:start w:val="1"/>
      <w:numFmt w:val="lowerLetter"/>
      <w:lvlText w:val="%1)"/>
      <w:lvlJc w:val="left"/>
      <w:pPr>
        <w:ind w:left="1416" w:hanging="360"/>
      </w:pPr>
      <w:rPr>
        <w:rFonts w:hint="default"/>
      </w:rPr>
    </w:lvl>
    <w:lvl w:ilvl="1" w:tplc="04160019" w:tentative="1">
      <w:start w:val="1"/>
      <w:numFmt w:val="lowerLetter"/>
      <w:lvlText w:val="%2."/>
      <w:lvlJc w:val="left"/>
      <w:pPr>
        <w:ind w:left="2136" w:hanging="360"/>
      </w:pPr>
    </w:lvl>
    <w:lvl w:ilvl="2" w:tplc="0416001B" w:tentative="1">
      <w:start w:val="1"/>
      <w:numFmt w:val="lowerRoman"/>
      <w:lvlText w:val="%3."/>
      <w:lvlJc w:val="right"/>
      <w:pPr>
        <w:ind w:left="2856" w:hanging="180"/>
      </w:pPr>
    </w:lvl>
    <w:lvl w:ilvl="3" w:tplc="0416000F" w:tentative="1">
      <w:start w:val="1"/>
      <w:numFmt w:val="decimal"/>
      <w:lvlText w:val="%4."/>
      <w:lvlJc w:val="left"/>
      <w:pPr>
        <w:ind w:left="3576" w:hanging="360"/>
      </w:pPr>
    </w:lvl>
    <w:lvl w:ilvl="4" w:tplc="04160019" w:tentative="1">
      <w:start w:val="1"/>
      <w:numFmt w:val="lowerLetter"/>
      <w:lvlText w:val="%5."/>
      <w:lvlJc w:val="left"/>
      <w:pPr>
        <w:ind w:left="4296" w:hanging="360"/>
      </w:pPr>
    </w:lvl>
    <w:lvl w:ilvl="5" w:tplc="0416001B" w:tentative="1">
      <w:start w:val="1"/>
      <w:numFmt w:val="lowerRoman"/>
      <w:lvlText w:val="%6."/>
      <w:lvlJc w:val="right"/>
      <w:pPr>
        <w:ind w:left="5016" w:hanging="180"/>
      </w:pPr>
    </w:lvl>
    <w:lvl w:ilvl="6" w:tplc="0416000F" w:tentative="1">
      <w:start w:val="1"/>
      <w:numFmt w:val="decimal"/>
      <w:lvlText w:val="%7."/>
      <w:lvlJc w:val="left"/>
      <w:pPr>
        <w:ind w:left="5736" w:hanging="360"/>
      </w:pPr>
    </w:lvl>
    <w:lvl w:ilvl="7" w:tplc="04160019" w:tentative="1">
      <w:start w:val="1"/>
      <w:numFmt w:val="lowerLetter"/>
      <w:lvlText w:val="%8."/>
      <w:lvlJc w:val="left"/>
      <w:pPr>
        <w:ind w:left="6456" w:hanging="360"/>
      </w:pPr>
    </w:lvl>
    <w:lvl w:ilvl="8" w:tplc="0416001B" w:tentative="1">
      <w:start w:val="1"/>
      <w:numFmt w:val="lowerRoman"/>
      <w:lvlText w:val="%9."/>
      <w:lvlJc w:val="right"/>
      <w:pPr>
        <w:ind w:left="7176" w:hanging="180"/>
      </w:pPr>
    </w:lvl>
  </w:abstractNum>
  <w:abstractNum w:abstractNumId="15" w15:restartNumberingAfterBreak="0">
    <w:nsid w:val="7BF1216C"/>
    <w:multiLevelType w:val="hybridMultilevel"/>
    <w:tmpl w:val="42EA64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5"/>
  </w:num>
  <w:num w:numId="5">
    <w:abstractNumId w:val="14"/>
  </w:num>
  <w:num w:numId="6">
    <w:abstractNumId w:val="7"/>
  </w:num>
  <w:num w:numId="7">
    <w:abstractNumId w:val="13"/>
  </w:num>
  <w:num w:numId="8">
    <w:abstractNumId w:val="3"/>
  </w:num>
  <w:num w:numId="9">
    <w:abstractNumId w:val="8"/>
  </w:num>
  <w:num w:numId="10">
    <w:abstractNumId w:val="10"/>
  </w:num>
  <w:num w:numId="11">
    <w:abstractNumId w:val="11"/>
  </w:num>
  <w:num w:numId="12">
    <w:abstractNumId w:val="6"/>
  </w:num>
  <w:num w:numId="13">
    <w:abstractNumId w:val="4"/>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F0"/>
    <w:rsid w:val="00000FA5"/>
    <w:rsid w:val="00002FAF"/>
    <w:rsid w:val="00006219"/>
    <w:rsid w:val="00011153"/>
    <w:rsid w:val="00015377"/>
    <w:rsid w:val="0001785E"/>
    <w:rsid w:val="00021184"/>
    <w:rsid w:val="00026B55"/>
    <w:rsid w:val="0002760A"/>
    <w:rsid w:val="00032193"/>
    <w:rsid w:val="00041BD7"/>
    <w:rsid w:val="00046291"/>
    <w:rsid w:val="000509CC"/>
    <w:rsid w:val="00057AF4"/>
    <w:rsid w:val="00062E20"/>
    <w:rsid w:val="00063F7F"/>
    <w:rsid w:val="0007014A"/>
    <w:rsid w:val="000747DB"/>
    <w:rsid w:val="00075B6D"/>
    <w:rsid w:val="00077E3B"/>
    <w:rsid w:val="00080031"/>
    <w:rsid w:val="00085408"/>
    <w:rsid w:val="00085A31"/>
    <w:rsid w:val="00085D21"/>
    <w:rsid w:val="000864FB"/>
    <w:rsid w:val="00086E24"/>
    <w:rsid w:val="00087E98"/>
    <w:rsid w:val="0009127B"/>
    <w:rsid w:val="000927A9"/>
    <w:rsid w:val="00092AF2"/>
    <w:rsid w:val="000971F6"/>
    <w:rsid w:val="000A5A10"/>
    <w:rsid w:val="000A7C88"/>
    <w:rsid w:val="000C7136"/>
    <w:rsid w:val="000D1EEE"/>
    <w:rsid w:val="000D29B7"/>
    <w:rsid w:val="000E4CED"/>
    <w:rsid w:val="000E5A49"/>
    <w:rsid w:val="000E75D3"/>
    <w:rsid w:val="001060AA"/>
    <w:rsid w:val="00107D0D"/>
    <w:rsid w:val="00114F0C"/>
    <w:rsid w:val="0012292E"/>
    <w:rsid w:val="0012457D"/>
    <w:rsid w:val="00136EA6"/>
    <w:rsid w:val="00137F87"/>
    <w:rsid w:val="001400BB"/>
    <w:rsid w:val="00143027"/>
    <w:rsid w:val="00146080"/>
    <w:rsid w:val="00150B01"/>
    <w:rsid w:val="0015238A"/>
    <w:rsid w:val="00162CC4"/>
    <w:rsid w:val="0016516D"/>
    <w:rsid w:val="00183530"/>
    <w:rsid w:val="001876F3"/>
    <w:rsid w:val="001879FB"/>
    <w:rsid w:val="001A3659"/>
    <w:rsid w:val="001B1956"/>
    <w:rsid w:val="001B247C"/>
    <w:rsid w:val="001D1415"/>
    <w:rsid w:val="001D448A"/>
    <w:rsid w:val="001E0DF9"/>
    <w:rsid w:val="001E1E7D"/>
    <w:rsid w:val="001E1EBF"/>
    <w:rsid w:val="001E5E6C"/>
    <w:rsid w:val="001E5E8F"/>
    <w:rsid w:val="001E70B4"/>
    <w:rsid w:val="001F2DA7"/>
    <w:rsid w:val="001F4FDA"/>
    <w:rsid w:val="00202419"/>
    <w:rsid w:val="002051B8"/>
    <w:rsid w:val="00212DD1"/>
    <w:rsid w:val="00237BA8"/>
    <w:rsid w:val="00242CD1"/>
    <w:rsid w:val="00243482"/>
    <w:rsid w:val="00252A8E"/>
    <w:rsid w:val="002547B0"/>
    <w:rsid w:val="00254CD8"/>
    <w:rsid w:val="002553EA"/>
    <w:rsid w:val="00256F82"/>
    <w:rsid w:val="0026194B"/>
    <w:rsid w:val="00264F31"/>
    <w:rsid w:val="00265D11"/>
    <w:rsid w:val="00273A6C"/>
    <w:rsid w:val="00277A7A"/>
    <w:rsid w:val="0028607F"/>
    <w:rsid w:val="002867D0"/>
    <w:rsid w:val="00293CBC"/>
    <w:rsid w:val="002A05D9"/>
    <w:rsid w:val="002A0DCD"/>
    <w:rsid w:val="002B6B94"/>
    <w:rsid w:val="002C4885"/>
    <w:rsid w:val="002D4949"/>
    <w:rsid w:val="003033C2"/>
    <w:rsid w:val="0030792A"/>
    <w:rsid w:val="0031107A"/>
    <w:rsid w:val="0032060B"/>
    <w:rsid w:val="003209FB"/>
    <w:rsid w:val="003240EC"/>
    <w:rsid w:val="00324858"/>
    <w:rsid w:val="00326C4A"/>
    <w:rsid w:val="0032701A"/>
    <w:rsid w:val="00327A93"/>
    <w:rsid w:val="0033007F"/>
    <w:rsid w:val="00331116"/>
    <w:rsid w:val="003323A9"/>
    <w:rsid w:val="00333203"/>
    <w:rsid w:val="00334768"/>
    <w:rsid w:val="00340726"/>
    <w:rsid w:val="003429BA"/>
    <w:rsid w:val="00354F74"/>
    <w:rsid w:val="00360F43"/>
    <w:rsid w:val="0036128D"/>
    <w:rsid w:val="00362F0B"/>
    <w:rsid w:val="0036301C"/>
    <w:rsid w:val="003640A2"/>
    <w:rsid w:val="00380825"/>
    <w:rsid w:val="00383086"/>
    <w:rsid w:val="0038603D"/>
    <w:rsid w:val="00391FCC"/>
    <w:rsid w:val="003A5369"/>
    <w:rsid w:val="003C0209"/>
    <w:rsid w:val="003D7537"/>
    <w:rsid w:val="003E49F5"/>
    <w:rsid w:val="003F7A1B"/>
    <w:rsid w:val="00414F1C"/>
    <w:rsid w:val="00416A35"/>
    <w:rsid w:val="00417DD0"/>
    <w:rsid w:val="0042775D"/>
    <w:rsid w:val="004307E1"/>
    <w:rsid w:val="00430D67"/>
    <w:rsid w:val="00441DEC"/>
    <w:rsid w:val="00450961"/>
    <w:rsid w:val="00454956"/>
    <w:rsid w:val="004567F0"/>
    <w:rsid w:val="00462A0A"/>
    <w:rsid w:val="0046645E"/>
    <w:rsid w:val="00471C42"/>
    <w:rsid w:val="00472AEA"/>
    <w:rsid w:val="00474B23"/>
    <w:rsid w:val="0047646E"/>
    <w:rsid w:val="00490A9B"/>
    <w:rsid w:val="0049324F"/>
    <w:rsid w:val="00495998"/>
    <w:rsid w:val="004A77F3"/>
    <w:rsid w:val="004B7B9B"/>
    <w:rsid w:val="004C5EDE"/>
    <w:rsid w:val="004C5F26"/>
    <w:rsid w:val="004E05A8"/>
    <w:rsid w:val="004F03D0"/>
    <w:rsid w:val="004F1F78"/>
    <w:rsid w:val="004F26BD"/>
    <w:rsid w:val="004F2DBC"/>
    <w:rsid w:val="00503315"/>
    <w:rsid w:val="00511715"/>
    <w:rsid w:val="00514B55"/>
    <w:rsid w:val="00521C2D"/>
    <w:rsid w:val="00522329"/>
    <w:rsid w:val="005278C5"/>
    <w:rsid w:val="00530A58"/>
    <w:rsid w:val="0053163F"/>
    <w:rsid w:val="00535893"/>
    <w:rsid w:val="00544F77"/>
    <w:rsid w:val="00551AF6"/>
    <w:rsid w:val="00554E6B"/>
    <w:rsid w:val="00575597"/>
    <w:rsid w:val="00581366"/>
    <w:rsid w:val="005825F0"/>
    <w:rsid w:val="0058793F"/>
    <w:rsid w:val="005A1BBF"/>
    <w:rsid w:val="005A7A46"/>
    <w:rsid w:val="005B1780"/>
    <w:rsid w:val="005B2F32"/>
    <w:rsid w:val="005C18E7"/>
    <w:rsid w:val="005C3558"/>
    <w:rsid w:val="005C6BB9"/>
    <w:rsid w:val="005C70D3"/>
    <w:rsid w:val="005E0510"/>
    <w:rsid w:val="005E5939"/>
    <w:rsid w:val="005E687C"/>
    <w:rsid w:val="00607FA2"/>
    <w:rsid w:val="00630DF7"/>
    <w:rsid w:val="006341F4"/>
    <w:rsid w:val="006361FA"/>
    <w:rsid w:val="006535C0"/>
    <w:rsid w:val="00653D9D"/>
    <w:rsid w:val="0066031D"/>
    <w:rsid w:val="00685645"/>
    <w:rsid w:val="00687A5D"/>
    <w:rsid w:val="00690F03"/>
    <w:rsid w:val="006954E5"/>
    <w:rsid w:val="006956FF"/>
    <w:rsid w:val="006A1EBC"/>
    <w:rsid w:val="006A505B"/>
    <w:rsid w:val="006B14A7"/>
    <w:rsid w:val="006C7FEE"/>
    <w:rsid w:val="006D0646"/>
    <w:rsid w:val="006D0A65"/>
    <w:rsid w:val="006D5898"/>
    <w:rsid w:val="006D60C6"/>
    <w:rsid w:val="006E38D8"/>
    <w:rsid w:val="006F510B"/>
    <w:rsid w:val="00704006"/>
    <w:rsid w:val="00704ADB"/>
    <w:rsid w:val="0070514E"/>
    <w:rsid w:val="007077EA"/>
    <w:rsid w:val="00707E02"/>
    <w:rsid w:val="0071228A"/>
    <w:rsid w:val="00714DFF"/>
    <w:rsid w:val="00715730"/>
    <w:rsid w:val="00716376"/>
    <w:rsid w:val="00721722"/>
    <w:rsid w:val="00755938"/>
    <w:rsid w:val="00760C41"/>
    <w:rsid w:val="00770861"/>
    <w:rsid w:val="007712FB"/>
    <w:rsid w:val="0077218B"/>
    <w:rsid w:val="00773631"/>
    <w:rsid w:val="00784E69"/>
    <w:rsid w:val="00795E7F"/>
    <w:rsid w:val="00796A6D"/>
    <w:rsid w:val="00797F7C"/>
    <w:rsid w:val="007C158B"/>
    <w:rsid w:val="007C21EB"/>
    <w:rsid w:val="007C3009"/>
    <w:rsid w:val="007C4E69"/>
    <w:rsid w:val="007C6E83"/>
    <w:rsid w:val="007D18B9"/>
    <w:rsid w:val="007D56A6"/>
    <w:rsid w:val="007E2062"/>
    <w:rsid w:val="007E2568"/>
    <w:rsid w:val="007E5865"/>
    <w:rsid w:val="007F3B9A"/>
    <w:rsid w:val="007F58E5"/>
    <w:rsid w:val="00813818"/>
    <w:rsid w:val="00814304"/>
    <w:rsid w:val="00823EF3"/>
    <w:rsid w:val="00824A5C"/>
    <w:rsid w:val="008312E5"/>
    <w:rsid w:val="0083605D"/>
    <w:rsid w:val="0083652F"/>
    <w:rsid w:val="00843406"/>
    <w:rsid w:val="0084648A"/>
    <w:rsid w:val="00853153"/>
    <w:rsid w:val="0085540F"/>
    <w:rsid w:val="00857013"/>
    <w:rsid w:val="00862286"/>
    <w:rsid w:val="0086266C"/>
    <w:rsid w:val="00865907"/>
    <w:rsid w:val="00873135"/>
    <w:rsid w:val="0087658F"/>
    <w:rsid w:val="00886824"/>
    <w:rsid w:val="008A3F05"/>
    <w:rsid w:val="008A47F0"/>
    <w:rsid w:val="008A6C3C"/>
    <w:rsid w:val="008A6EB4"/>
    <w:rsid w:val="008B0F9C"/>
    <w:rsid w:val="008C4DD1"/>
    <w:rsid w:val="008D377C"/>
    <w:rsid w:val="008D5F3D"/>
    <w:rsid w:val="008F4948"/>
    <w:rsid w:val="008F5188"/>
    <w:rsid w:val="00901A13"/>
    <w:rsid w:val="00910C66"/>
    <w:rsid w:val="00921891"/>
    <w:rsid w:val="00924ACB"/>
    <w:rsid w:val="009415A4"/>
    <w:rsid w:val="009443A9"/>
    <w:rsid w:val="00951A18"/>
    <w:rsid w:val="00951B6F"/>
    <w:rsid w:val="009627F5"/>
    <w:rsid w:val="0099069E"/>
    <w:rsid w:val="00992C9B"/>
    <w:rsid w:val="0099370D"/>
    <w:rsid w:val="00995193"/>
    <w:rsid w:val="009A11D8"/>
    <w:rsid w:val="009A29AB"/>
    <w:rsid w:val="009A3BCA"/>
    <w:rsid w:val="009A71A0"/>
    <w:rsid w:val="009B14C9"/>
    <w:rsid w:val="009C5E89"/>
    <w:rsid w:val="009D0157"/>
    <w:rsid w:val="009D07B3"/>
    <w:rsid w:val="009D722F"/>
    <w:rsid w:val="009E2AE5"/>
    <w:rsid w:val="009E76D7"/>
    <w:rsid w:val="009F2AC7"/>
    <w:rsid w:val="009F4960"/>
    <w:rsid w:val="009F7FFD"/>
    <w:rsid w:val="00A0035B"/>
    <w:rsid w:val="00A01529"/>
    <w:rsid w:val="00A14679"/>
    <w:rsid w:val="00A20C2F"/>
    <w:rsid w:val="00A26779"/>
    <w:rsid w:val="00A27542"/>
    <w:rsid w:val="00A35234"/>
    <w:rsid w:val="00A46B7A"/>
    <w:rsid w:val="00A50441"/>
    <w:rsid w:val="00A50E41"/>
    <w:rsid w:val="00A55C0A"/>
    <w:rsid w:val="00A774C5"/>
    <w:rsid w:val="00A77C8E"/>
    <w:rsid w:val="00A82503"/>
    <w:rsid w:val="00A876CC"/>
    <w:rsid w:val="00A952E1"/>
    <w:rsid w:val="00AA6E2E"/>
    <w:rsid w:val="00AB43DC"/>
    <w:rsid w:val="00AB71EC"/>
    <w:rsid w:val="00AD7297"/>
    <w:rsid w:val="00AE1588"/>
    <w:rsid w:val="00AE378E"/>
    <w:rsid w:val="00AE6FD5"/>
    <w:rsid w:val="00AE7AAF"/>
    <w:rsid w:val="00AF0769"/>
    <w:rsid w:val="00AF18A7"/>
    <w:rsid w:val="00B056B1"/>
    <w:rsid w:val="00B07644"/>
    <w:rsid w:val="00B126DB"/>
    <w:rsid w:val="00B21E1B"/>
    <w:rsid w:val="00B25CF3"/>
    <w:rsid w:val="00B333C9"/>
    <w:rsid w:val="00B33F31"/>
    <w:rsid w:val="00B37BE5"/>
    <w:rsid w:val="00B42A11"/>
    <w:rsid w:val="00B43E64"/>
    <w:rsid w:val="00B46310"/>
    <w:rsid w:val="00B475DC"/>
    <w:rsid w:val="00B5215D"/>
    <w:rsid w:val="00B64109"/>
    <w:rsid w:val="00B74EE7"/>
    <w:rsid w:val="00B949EC"/>
    <w:rsid w:val="00BA0727"/>
    <w:rsid w:val="00BA115C"/>
    <w:rsid w:val="00BA3010"/>
    <w:rsid w:val="00BA53D7"/>
    <w:rsid w:val="00BA55C5"/>
    <w:rsid w:val="00BA72B6"/>
    <w:rsid w:val="00BB1788"/>
    <w:rsid w:val="00BB2020"/>
    <w:rsid w:val="00BB35F3"/>
    <w:rsid w:val="00BB6534"/>
    <w:rsid w:val="00BD18E4"/>
    <w:rsid w:val="00BD4A26"/>
    <w:rsid w:val="00BE516C"/>
    <w:rsid w:val="00BF095D"/>
    <w:rsid w:val="00BF27C3"/>
    <w:rsid w:val="00BF697C"/>
    <w:rsid w:val="00C02946"/>
    <w:rsid w:val="00C030D3"/>
    <w:rsid w:val="00C036B7"/>
    <w:rsid w:val="00C0387E"/>
    <w:rsid w:val="00C038DA"/>
    <w:rsid w:val="00C12CB3"/>
    <w:rsid w:val="00C201E3"/>
    <w:rsid w:val="00C24C32"/>
    <w:rsid w:val="00C31954"/>
    <w:rsid w:val="00C37A4C"/>
    <w:rsid w:val="00C41377"/>
    <w:rsid w:val="00C43F08"/>
    <w:rsid w:val="00C46D4D"/>
    <w:rsid w:val="00C6144A"/>
    <w:rsid w:val="00C65C65"/>
    <w:rsid w:val="00C95996"/>
    <w:rsid w:val="00C9623E"/>
    <w:rsid w:val="00C9637C"/>
    <w:rsid w:val="00CA0B2C"/>
    <w:rsid w:val="00CA56B4"/>
    <w:rsid w:val="00CA7187"/>
    <w:rsid w:val="00CB0466"/>
    <w:rsid w:val="00CB0C14"/>
    <w:rsid w:val="00CB2D8E"/>
    <w:rsid w:val="00CB493C"/>
    <w:rsid w:val="00CB5A8E"/>
    <w:rsid w:val="00CB5D41"/>
    <w:rsid w:val="00CC233C"/>
    <w:rsid w:val="00CD0E61"/>
    <w:rsid w:val="00CD281B"/>
    <w:rsid w:val="00CD362F"/>
    <w:rsid w:val="00CD3F16"/>
    <w:rsid w:val="00CD592D"/>
    <w:rsid w:val="00CE5E2B"/>
    <w:rsid w:val="00CE7DB6"/>
    <w:rsid w:val="00CF1EDB"/>
    <w:rsid w:val="00D01FA2"/>
    <w:rsid w:val="00D1623B"/>
    <w:rsid w:val="00D2595B"/>
    <w:rsid w:val="00D26B56"/>
    <w:rsid w:val="00D401C1"/>
    <w:rsid w:val="00D4653D"/>
    <w:rsid w:val="00D53341"/>
    <w:rsid w:val="00D620CC"/>
    <w:rsid w:val="00D63626"/>
    <w:rsid w:val="00D66255"/>
    <w:rsid w:val="00D70ED6"/>
    <w:rsid w:val="00D71585"/>
    <w:rsid w:val="00D851A8"/>
    <w:rsid w:val="00D8774D"/>
    <w:rsid w:val="00D922B4"/>
    <w:rsid w:val="00DA08A8"/>
    <w:rsid w:val="00DA2E70"/>
    <w:rsid w:val="00DA31F0"/>
    <w:rsid w:val="00DB06E2"/>
    <w:rsid w:val="00DB6C1E"/>
    <w:rsid w:val="00DC6E73"/>
    <w:rsid w:val="00DC7863"/>
    <w:rsid w:val="00DD0451"/>
    <w:rsid w:val="00DE15F7"/>
    <w:rsid w:val="00DE4BA5"/>
    <w:rsid w:val="00DE6DDA"/>
    <w:rsid w:val="00DF4A5B"/>
    <w:rsid w:val="00E03E2C"/>
    <w:rsid w:val="00E1311B"/>
    <w:rsid w:val="00E136FD"/>
    <w:rsid w:val="00E14FD5"/>
    <w:rsid w:val="00E1652E"/>
    <w:rsid w:val="00E25CC8"/>
    <w:rsid w:val="00E276CF"/>
    <w:rsid w:val="00E448C7"/>
    <w:rsid w:val="00E4625B"/>
    <w:rsid w:val="00E50B65"/>
    <w:rsid w:val="00E55813"/>
    <w:rsid w:val="00E56CD5"/>
    <w:rsid w:val="00E638A0"/>
    <w:rsid w:val="00E8054C"/>
    <w:rsid w:val="00E940DA"/>
    <w:rsid w:val="00E94D79"/>
    <w:rsid w:val="00E96B31"/>
    <w:rsid w:val="00EA6E05"/>
    <w:rsid w:val="00EA7127"/>
    <w:rsid w:val="00EB3626"/>
    <w:rsid w:val="00EB670B"/>
    <w:rsid w:val="00EF403D"/>
    <w:rsid w:val="00EF4E0C"/>
    <w:rsid w:val="00F032E9"/>
    <w:rsid w:val="00F05A7A"/>
    <w:rsid w:val="00F15A81"/>
    <w:rsid w:val="00F16E04"/>
    <w:rsid w:val="00F209FA"/>
    <w:rsid w:val="00F31F22"/>
    <w:rsid w:val="00F3666F"/>
    <w:rsid w:val="00F36A46"/>
    <w:rsid w:val="00F61261"/>
    <w:rsid w:val="00F615CC"/>
    <w:rsid w:val="00F705DE"/>
    <w:rsid w:val="00F7478D"/>
    <w:rsid w:val="00F82DAD"/>
    <w:rsid w:val="00F85A0C"/>
    <w:rsid w:val="00F90ADE"/>
    <w:rsid w:val="00F954E6"/>
    <w:rsid w:val="00F957BA"/>
    <w:rsid w:val="00F974BF"/>
    <w:rsid w:val="00FA2C90"/>
    <w:rsid w:val="00FA7262"/>
    <w:rsid w:val="00FB0FE0"/>
    <w:rsid w:val="00FB2173"/>
    <w:rsid w:val="00FB77A1"/>
    <w:rsid w:val="00FC066D"/>
    <w:rsid w:val="00FC1F44"/>
    <w:rsid w:val="00FC7014"/>
    <w:rsid w:val="00FD162C"/>
    <w:rsid w:val="00FE34A2"/>
    <w:rsid w:val="00FF66F9"/>
    <w:rsid w:val="00FF6F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E404"/>
  <w15:docId w15:val="{0567E836-6994-41CF-AE6C-2F0A4B1D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4A5C"/>
    <w:pPr>
      <w:ind w:left="720"/>
      <w:contextualSpacing/>
    </w:pPr>
  </w:style>
  <w:style w:type="paragraph" w:styleId="Cabealho">
    <w:name w:val="header"/>
    <w:basedOn w:val="Normal"/>
    <w:link w:val="CabealhoChar"/>
    <w:uiPriority w:val="99"/>
    <w:unhideWhenUsed/>
    <w:rsid w:val="00B12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DB"/>
  </w:style>
  <w:style w:type="paragraph" w:styleId="Rodap">
    <w:name w:val="footer"/>
    <w:basedOn w:val="Normal"/>
    <w:link w:val="RodapChar"/>
    <w:uiPriority w:val="99"/>
    <w:unhideWhenUsed/>
    <w:rsid w:val="00B126DB"/>
    <w:pPr>
      <w:tabs>
        <w:tab w:val="center" w:pos="4252"/>
        <w:tab w:val="right" w:pos="8504"/>
      </w:tabs>
      <w:spacing w:after="0" w:line="240" w:lineRule="auto"/>
    </w:pPr>
  </w:style>
  <w:style w:type="character" w:customStyle="1" w:styleId="RodapChar">
    <w:name w:val="Rodapé Char"/>
    <w:basedOn w:val="Fontepargpadro"/>
    <w:link w:val="Rodap"/>
    <w:uiPriority w:val="99"/>
    <w:rsid w:val="00B126DB"/>
  </w:style>
  <w:style w:type="character" w:styleId="Hyperlink">
    <w:name w:val="Hyperlink"/>
    <w:basedOn w:val="Fontepargpadro"/>
    <w:uiPriority w:val="99"/>
    <w:unhideWhenUsed/>
    <w:rsid w:val="00B126DB"/>
    <w:rPr>
      <w:color w:val="0563C1" w:themeColor="hyperlink"/>
      <w:u w:val="single"/>
    </w:rPr>
  </w:style>
  <w:style w:type="paragraph" w:styleId="Textodenotaderodap">
    <w:name w:val="footnote text"/>
    <w:basedOn w:val="Normal"/>
    <w:link w:val="TextodenotaderodapChar"/>
    <w:uiPriority w:val="99"/>
    <w:unhideWhenUsed/>
    <w:rsid w:val="00CB2D8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B2D8E"/>
    <w:rPr>
      <w:sz w:val="20"/>
      <w:szCs w:val="20"/>
    </w:rPr>
  </w:style>
  <w:style w:type="character" w:styleId="Refdenotaderodap">
    <w:name w:val="footnote reference"/>
    <w:basedOn w:val="Fontepargpadro"/>
    <w:uiPriority w:val="99"/>
    <w:semiHidden/>
    <w:unhideWhenUsed/>
    <w:rsid w:val="00CB2D8E"/>
    <w:rPr>
      <w:vertAlign w:val="superscript"/>
    </w:rPr>
  </w:style>
  <w:style w:type="character" w:customStyle="1" w:styleId="Meno1">
    <w:name w:val="Menção1"/>
    <w:basedOn w:val="Fontepargpadro"/>
    <w:uiPriority w:val="99"/>
    <w:semiHidden/>
    <w:unhideWhenUsed/>
    <w:rsid w:val="00CB2D8E"/>
    <w:rPr>
      <w:color w:val="2B579A"/>
      <w:shd w:val="clear" w:color="auto" w:fill="E6E6E6"/>
    </w:rPr>
  </w:style>
  <w:style w:type="paragraph" w:styleId="Legenda">
    <w:name w:val="caption"/>
    <w:basedOn w:val="Normal"/>
    <w:next w:val="Normal"/>
    <w:uiPriority w:val="35"/>
    <w:unhideWhenUsed/>
    <w:qFormat/>
    <w:rsid w:val="00E56CD5"/>
    <w:pPr>
      <w:spacing w:after="200" w:line="240" w:lineRule="auto"/>
    </w:pPr>
    <w:rPr>
      <w:i/>
      <w:iCs/>
      <w:color w:val="44546A" w:themeColor="text2"/>
      <w:sz w:val="18"/>
      <w:szCs w:val="18"/>
    </w:rPr>
  </w:style>
  <w:style w:type="paragraph" w:styleId="Textodebalo">
    <w:name w:val="Balloon Text"/>
    <w:basedOn w:val="Normal"/>
    <w:link w:val="TextodebaloChar"/>
    <w:uiPriority w:val="99"/>
    <w:semiHidden/>
    <w:unhideWhenUsed/>
    <w:rsid w:val="00910C6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0C66"/>
    <w:rPr>
      <w:rFonts w:ascii="Segoe UI" w:hAnsi="Segoe UI" w:cs="Segoe UI"/>
      <w:sz w:val="18"/>
      <w:szCs w:val="18"/>
    </w:rPr>
  </w:style>
  <w:style w:type="character" w:customStyle="1" w:styleId="Meno2">
    <w:name w:val="Menção2"/>
    <w:basedOn w:val="Fontepargpadro"/>
    <w:uiPriority w:val="99"/>
    <w:semiHidden/>
    <w:unhideWhenUsed/>
    <w:rsid w:val="000E5A49"/>
    <w:rPr>
      <w:color w:val="2B579A"/>
      <w:shd w:val="clear" w:color="auto" w:fill="E6E6E6"/>
    </w:rPr>
  </w:style>
  <w:style w:type="paragraph" w:styleId="Reviso">
    <w:name w:val="Revision"/>
    <w:hidden/>
    <w:uiPriority w:val="99"/>
    <w:semiHidden/>
    <w:rsid w:val="004F03D0"/>
    <w:pPr>
      <w:spacing w:after="0" w:line="240" w:lineRule="auto"/>
    </w:pPr>
  </w:style>
  <w:style w:type="character" w:styleId="HiperlinkVisitado">
    <w:name w:val="FollowedHyperlink"/>
    <w:basedOn w:val="Fontepargpadro"/>
    <w:uiPriority w:val="99"/>
    <w:semiHidden/>
    <w:unhideWhenUsed/>
    <w:rsid w:val="00032193"/>
    <w:rPr>
      <w:color w:val="954F72" w:themeColor="followedHyperlink"/>
      <w:u w:val="single"/>
    </w:rPr>
  </w:style>
  <w:style w:type="character" w:styleId="Refdecomentrio">
    <w:name w:val="annotation reference"/>
    <w:basedOn w:val="Fontepargpadro"/>
    <w:uiPriority w:val="99"/>
    <w:semiHidden/>
    <w:unhideWhenUsed/>
    <w:rsid w:val="00B5215D"/>
    <w:rPr>
      <w:sz w:val="16"/>
      <w:szCs w:val="16"/>
    </w:rPr>
  </w:style>
  <w:style w:type="paragraph" w:styleId="Textodecomentrio">
    <w:name w:val="annotation text"/>
    <w:basedOn w:val="Normal"/>
    <w:link w:val="TextodecomentrioChar"/>
    <w:uiPriority w:val="99"/>
    <w:semiHidden/>
    <w:unhideWhenUsed/>
    <w:rsid w:val="00B5215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215D"/>
    <w:rPr>
      <w:sz w:val="20"/>
      <w:szCs w:val="20"/>
    </w:rPr>
  </w:style>
  <w:style w:type="paragraph" w:styleId="Assuntodocomentrio">
    <w:name w:val="annotation subject"/>
    <w:basedOn w:val="Textodecomentrio"/>
    <w:next w:val="Textodecomentrio"/>
    <w:link w:val="AssuntodocomentrioChar"/>
    <w:uiPriority w:val="99"/>
    <w:semiHidden/>
    <w:unhideWhenUsed/>
    <w:rsid w:val="00B5215D"/>
    <w:rPr>
      <w:b/>
      <w:bCs/>
    </w:rPr>
  </w:style>
  <w:style w:type="character" w:customStyle="1" w:styleId="AssuntodocomentrioChar">
    <w:name w:val="Assunto do comentário Char"/>
    <w:basedOn w:val="TextodecomentrioChar"/>
    <w:link w:val="Assuntodocomentrio"/>
    <w:uiPriority w:val="99"/>
    <w:semiHidden/>
    <w:rsid w:val="00B5215D"/>
    <w:rPr>
      <w:b/>
      <w:bCs/>
      <w:sz w:val="20"/>
      <w:szCs w:val="20"/>
    </w:rPr>
  </w:style>
  <w:style w:type="character" w:customStyle="1" w:styleId="MenoPendente1">
    <w:name w:val="Menção Pendente1"/>
    <w:basedOn w:val="Fontepargpadro"/>
    <w:uiPriority w:val="99"/>
    <w:semiHidden/>
    <w:unhideWhenUsed/>
    <w:rsid w:val="00704ADB"/>
    <w:rPr>
      <w:color w:val="808080"/>
      <w:shd w:val="clear" w:color="auto" w:fill="E6E6E6"/>
    </w:rPr>
  </w:style>
  <w:style w:type="character" w:customStyle="1" w:styleId="MenoPendente2">
    <w:name w:val="Menção Pendente2"/>
    <w:basedOn w:val="Fontepargpadro"/>
    <w:uiPriority w:val="99"/>
    <w:semiHidden/>
    <w:unhideWhenUsed/>
    <w:rsid w:val="00CE7DB6"/>
    <w:rPr>
      <w:color w:val="808080"/>
      <w:shd w:val="clear" w:color="auto" w:fill="E6E6E6"/>
    </w:rPr>
  </w:style>
  <w:style w:type="paragraph" w:styleId="Textodenotadefim">
    <w:name w:val="endnote text"/>
    <w:basedOn w:val="Normal"/>
    <w:link w:val="TextodenotadefimChar"/>
    <w:uiPriority w:val="99"/>
    <w:semiHidden/>
    <w:unhideWhenUsed/>
    <w:rsid w:val="00BF095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F095D"/>
    <w:rPr>
      <w:sz w:val="20"/>
      <w:szCs w:val="20"/>
    </w:rPr>
  </w:style>
  <w:style w:type="character" w:styleId="Refdenotadefim">
    <w:name w:val="endnote reference"/>
    <w:basedOn w:val="Fontepargpadro"/>
    <w:uiPriority w:val="99"/>
    <w:semiHidden/>
    <w:unhideWhenUsed/>
    <w:rsid w:val="00BF095D"/>
    <w:rPr>
      <w:vertAlign w:val="superscript"/>
    </w:rPr>
  </w:style>
  <w:style w:type="character" w:customStyle="1" w:styleId="UnresolvedMention">
    <w:name w:val="Unresolved Mention"/>
    <w:basedOn w:val="Fontepargpadro"/>
    <w:uiPriority w:val="99"/>
    <w:semiHidden/>
    <w:unhideWhenUsed/>
    <w:rsid w:val="00A015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6325">
      <w:bodyDiv w:val="1"/>
      <w:marLeft w:val="0"/>
      <w:marRight w:val="0"/>
      <w:marTop w:val="0"/>
      <w:marBottom w:val="0"/>
      <w:divBdr>
        <w:top w:val="none" w:sz="0" w:space="0" w:color="auto"/>
        <w:left w:val="none" w:sz="0" w:space="0" w:color="auto"/>
        <w:bottom w:val="none" w:sz="0" w:space="0" w:color="auto"/>
        <w:right w:val="none" w:sz="0" w:space="0" w:color="auto"/>
      </w:divBdr>
      <w:divsChild>
        <w:div w:id="75978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089482">
              <w:marLeft w:val="0"/>
              <w:marRight w:val="0"/>
              <w:marTop w:val="0"/>
              <w:marBottom w:val="0"/>
              <w:divBdr>
                <w:top w:val="none" w:sz="0" w:space="0" w:color="auto"/>
                <w:left w:val="none" w:sz="0" w:space="0" w:color="auto"/>
                <w:bottom w:val="none" w:sz="0" w:space="0" w:color="auto"/>
                <w:right w:val="none" w:sz="0" w:space="0" w:color="auto"/>
              </w:divBdr>
              <w:divsChild>
                <w:div w:id="718825742">
                  <w:marLeft w:val="0"/>
                  <w:marRight w:val="0"/>
                  <w:marTop w:val="0"/>
                  <w:marBottom w:val="0"/>
                  <w:divBdr>
                    <w:top w:val="none" w:sz="0" w:space="0" w:color="auto"/>
                    <w:left w:val="none" w:sz="0" w:space="0" w:color="auto"/>
                    <w:bottom w:val="none" w:sz="0" w:space="0" w:color="auto"/>
                    <w:right w:val="none" w:sz="0" w:space="0" w:color="auto"/>
                  </w:divBdr>
                  <w:divsChild>
                    <w:div w:id="1973247491">
                      <w:marLeft w:val="0"/>
                      <w:marRight w:val="0"/>
                      <w:marTop w:val="0"/>
                      <w:marBottom w:val="0"/>
                      <w:divBdr>
                        <w:top w:val="none" w:sz="0" w:space="0" w:color="auto"/>
                        <w:left w:val="none" w:sz="0" w:space="0" w:color="auto"/>
                        <w:bottom w:val="none" w:sz="0" w:space="0" w:color="auto"/>
                        <w:right w:val="none" w:sz="0" w:space="0" w:color="auto"/>
                      </w:divBdr>
                      <w:divsChild>
                        <w:div w:id="1766149513">
                          <w:marLeft w:val="0"/>
                          <w:marRight w:val="0"/>
                          <w:marTop w:val="0"/>
                          <w:marBottom w:val="0"/>
                          <w:divBdr>
                            <w:top w:val="none" w:sz="0" w:space="0" w:color="auto"/>
                            <w:left w:val="none" w:sz="0" w:space="0" w:color="auto"/>
                            <w:bottom w:val="none" w:sz="0" w:space="0" w:color="auto"/>
                            <w:right w:val="none" w:sz="0" w:space="0" w:color="auto"/>
                          </w:divBdr>
                        </w:div>
                        <w:div w:id="812412386">
                          <w:marLeft w:val="0"/>
                          <w:marRight w:val="0"/>
                          <w:marTop w:val="0"/>
                          <w:marBottom w:val="0"/>
                          <w:divBdr>
                            <w:top w:val="none" w:sz="0" w:space="0" w:color="auto"/>
                            <w:left w:val="none" w:sz="0" w:space="0" w:color="auto"/>
                            <w:bottom w:val="none" w:sz="0" w:space="0" w:color="auto"/>
                            <w:right w:val="none" w:sz="0" w:space="0" w:color="auto"/>
                          </w:divBdr>
                        </w:div>
                        <w:div w:id="6373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814618">
      <w:bodyDiv w:val="1"/>
      <w:marLeft w:val="0"/>
      <w:marRight w:val="0"/>
      <w:marTop w:val="0"/>
      <w:marBottom w:val="0"/>
      <w:divBdr>
        <w:top w:val="none" w:sz="0" w:space="0" w:color="auto"/>
        <w:left w:val="none" w:sz="0" w:space="0" w:color="auto"/>
        <w:bottom w:val="none" w:sz="0" w:space="0" w:color="auto"/>
        <w:right w:val="none" w:sz="0" w:space="0" w:color="auto"/>
      </w:divBdr>
    </w:div>
    <w:div w:id="331493050">
      <w:bodyDiv w:val="1"/>
      <w:marLeft w:val="0"/>
      <w:marRight w:val="0"/>
      <w:marTop w:val="0"/>
      <w:marBottom w:val="0"/>
      <w:divBdr>
        <w:top w:val="none" w:sz="0" w:space="0" w:color="auto"/>
        <w:left w:val="none" w:sz="0" w:space="0" w:color="auto"/>
        <w:bottom w:val="none" w:sz="0" w:space="0" w:color="auto"/>
        <w:right w:val="none" w:sz="0" w:space="0" w:color="auto"/>
      </w:divBdr>
      <w:divsChild>
        <w:div w:id="93266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309736">
              <w:marLeft w:val="0"/>
              <w:marRight w:val="0"/>
              <w:marTop w:val="0"/>
              <w:marBottom w:val="0"/>
              <w:divBdr>
                <w:top w:val="none" w:sz="0" w:space="0" w:color="auto"/>
                <w:left w:val="none" w:sz="0" w:space="0" w:color="auto"/>
                <w:bottom w:val="none" w:sz="0" w:space="0" w:color="auto"/>
                <w:right w:val="none" w:sz="0" w:space="0" w:color="auto"/>
              </w:divBdr>
              <w:divsChild>
                <w:div w:id="872116459">
                  <w:marLeft w:val="0"/>
                  <w:marRight w:val="0"/>
                  <w:marTop w:val="0"/>
                  <w:marBottom w:val="0"/>
                  <w:divBdr>
                    <w:top w:val="none" w:sz="0" w:space="0" w:color="auto"/>
                    <w:left w:val="none" w:sz="0" w:space="0" w:color="auto"/>
                    <w:bottom w:val="none" w:sz="0" w:space="0" w:color="auto"/>
                    <w:right w:val="none" w:sz="0" w:space="0" w:color="auto"/>
                  </w:divBdr>
                  <w:divsChild>
                    <w:div w:id="20708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99951">
      <w:bodyDiv w:val="1"/>
      <w:marLeft w:val="0"/>
      <w:marRight w:val="0"/>
      <w:marTop w:val="0"/>
      <w:marBottom w:val="0"/>
      <w:divBdr>
        <w:top w:val="none" w:sz="0" w:space="0" w:color="auto"/>
        <w:left w:val="none" w:sz="0" w:space="0" w:color="auto"/>
        <w:bottom w:val="none" w:sz="0" w:space="0" w:color="auto"/>
        <w:right w:val="none" w:sz="0" w:space="0" w:color="auto"/>
      </w:divBdr>
      <w:divsChild>
        <w:div w:id="1758363408">
          <w:marLeft w:val="0"/>
          <w:marRight w:val="0"/>
          <w:marTop w:val="0"/>
          <w:marBottom w:val="0"/>
          <w:divBdr>
            <w:top w:val="none" w:sz="0" w:space="0" w:color="auto"/>
            <w:left w:val="none" w:sz="0" w:space="0" w:color="auto"/>
            <w:bottom w:val="none" w:sz="0" w:space="0" w:color="auto"/>
            <w:right w:val="none" w:sz="0" w:space="0" w:color="auto"/>
          </w:divBdr>
        </w:div>
        <w:div w:id="681054000">
          <w:marLeft w:val="0"/>
          <w:marRight w:val="0"/>
          <w:marTop w:val="0"/>
          <w:marBottom w:val="0"/>
          <w:divBdr>
            <w:top w:val="none" w:sz="0" w:space="0" w:color="auto"/>
            <w:left w:val="none" w:sz="0" w:space="0" w:color="auto"/>
            <w:bottom w:val="none" w:sz="0" w:space="0" w:color="auto"/>
            <w:right w:val="none" w:sz="0" w:space="0" w:color="auto"/>
          </w:divBdr>
        </w:div>
        <w:div w:id="596595381">
          <w:marLeft w:val="0"/>
          <w:marRight w:val="0"/>
          <w:marTop w:val="0"/>
          <w:marBottom w:val="0"/>
          <w:divBdr>
            <w:top w:val="none" w:sz="0" w:space="0" w:color="auto"/>
            <w:left w:val="none" w:sz="0" w:space="0" w:color="auto"/>
            <w:bottom w:val="none" w:sz="0" w:space="0" w:color="auto"/>
            <w:right w:val="none" w:sz="0" w:space="0" w:color="auto"/>
          </w:divBdr>
        </w:div>
        <w:div w:id="249697197">
          <w:marLeft w:val="0"/>
          <w:marRight w:val="0"/>
          <w:marTop w:val="0"/>
          <w:marBottom w:val="0"/>
          <w:divBdr>
            <w:top w:val="none" w:sz="0" w:space="0" w:color="auto"/>
            <w:left w:val="none" w:sz="0" w:space="0" w:color="auto"/>
            <w:bottom w:val="none" w:sz="0" w:space="0" w:color="auto"/>
            <w:right w:val="none" w:sz="0" w:space="0" w:color="auto"/>
          </w:divBdr>
        </w:div>
        <w:div w:id="1678070113">
          <w:marLeft w:val="0"/>
          <w:marRight w:val="0"/>
          <w:marTop w:val="0"/>
          <w:marBottom w:val="0"/>
          <w:divBdr>
            <w:top w:val="none" w:sz="0" w:space="0" w:color="auto"/>
            <w:left w:val="none" w:sz="0" w:space="0" w:color="auto"/>
            <w:bottom w:val="none" w:sz="0" w:space="0" w:color="auto"/>
            <w:right w:val="none" w:sz="0" w:space="0" w:color="auto"/>
          </w:divBdr>
        </w:div>
      </w:divsChild>
    </w:div>
    <w:div w:id="398358377">
      <w:bodyDiv w:val="1"/>
      <w:marLeft w:val="0"/>
      <w:marRight w:val="0"/>
      <w:marTop w:val="0"/>
      <w:marBottom w:val="0"/>
      <w:divBdr>
        <w:top w:val="none" w:sz="0" w:space="0" w:color="auto"/>
        <w:left w:val="none" w:sz="0" w:space="0" w:color="auto"/>
        <w:bottom w:val="none" w:sz="0" w:space="0" w:color="auto"/>
        <w:right w:val="none" w:sz="0" w:space="0" w:color="auto"/>
      </w:divBdr>
    </w:div>
    <w:div w:id="941258138">
      <w:bodyDiv w:val="1"/>
      <w:marLeft w:val="0"/>
      <w:marRight w:val="0"/>
      <w:marTop w:val="0"/>
      <w:marBottom w:val="0"/>
      <w:divBdr>
        <w:top w:val="none" w:sz="0" w:space="0" w:color="auto"/>
        <w:left w:val="none" w:sz="0" w:space="0" w:color="auto"/>
        <w:bottom w:val="none" w:sz="0" w:space="0" w:color="auto"/>
        <w:right w:val="none" w:sz="0" w:space="0" w:color="auto"/>
      </w:divBdr>
    </w:div>
    <w:div w:id="944726380">
      <w:bodyDiv w:val="1"/>
      <w:marLeft w:val="0"/>
      <w:marRight w:val="0"/>
      <w:marTop w:val="0"/>
      <w:marBottom w:val="0"/>
      <w:divBdr>
        <w:top w:val="none" w:sz="0" w:space="0" w:color="auto"/>
        <w:left w:val="none" w:sz="0" w:space="0" w:color="auto"/>
        <w:bottom w:val="none" w:sz="0" w:space="0" w:color="auto"/>
        <w:right w:val="none" w:sz="0" w:space="0" w:color="auto"/>
      </w:divBdr>
    </w:div>
    <w:div w:id="1138956221">
      <w:bodyDiv w:val="1"/>
      <w:marLeft w:val="0"/>
      <w:marRight w:val="0"/>
      <w:marTop w:val="0"/>
      <w:marBottom w:val="0"/>
      <w:divBdr>
        <w:top w:val="none" w:sz="0" w:space="0" w:color="auto"/>
        <w:left w:val="none" w:sz="0" w:space="0" w:color="auto"/>
        <w:bottom w:val="none" w:sz="0" w:space="0" w:color="auto"/>
        <w:right w:val="none" w:sz="0" w:space="0" w:color="auto"/>
      </w:divBdr>
    </w:div>
    <w:div w:id="1197817826">
      <w:bodyDiv w:val="1"/>
      <w:marLeft w:val="0"/>
      <w:marRight w:val="0"/>
      <w:marTop w:val="0"/>
      <w:marBottom w:val="0"/>
      <w:divBdr>
        <w:top w:val="none" w:sz="0" w:space="0" w:color="auto"/>
        <w:left w:val="none" w:sz="0" w:space="0" w:color="auto"/>
        <w:bottom w:val="none" w:sz="0" w:space="0" w:color="auto"/>
        <w:right w:val="none" w:sz="0" w:space="0" w:color="auto"/>
      </w:divBdr>
    </w:div>
    <w:div w:id="1283027169">
      <w:bodyDiv w:val="1"/>
      <w:marLeft w:val="0"/>
      <w:marRight w:val="0"/>
      <w:marTop w:val="0"/>
      <w:marBottom w:val="0"/>
      <w:divBdr>
        <w:top w:val="none" w:sz="0" w:space="0" w:color="auto"/>
        <w:left w:val="none" w:sz="0" w:space="0" w:color="auto"/>
        <w:bottom w:val="none" w:sz="0" w:space="0" w:color="auto"/>
        <w:right w:val="none" w:sz="0" w:space="0" w:color="auto"/>
      </w:divBdr>
    </w:div>
    <w:div w:id="1283876406">
      <w:bodyDiv w:val="1"/>
      <w:marLeft w:val="0"/>
      <w:marRight w:val="0"/>
      <w:marTop w:val="0"/>
      <w:marBottom w:val="0"/>
      <w:divBdr>
        <w:top w:val="none" w:sz="0" w:space="0" w:color="auto"/>
        <w:left w:val="none" w:sz="0" w:space="0" w:color="auto"/>
        <w:bottom w:val="none" w:sz="0" w:space="0" w:color="auto"/>
        <w:right w:val="none" w:sz="0" w:space="0" w:color="auto"/>
      </w:divBdr>
    </w:div>
    <w:div w:id="1374883732">
      <w:bodyDiv w:val="1"/>
      <w:marLeft w:val="0"/>
      <w:marRight w:val="0"/>
      <w:marTop w:val="0"/>
      <w:marBottom w:val="0"/>
      <w:divBdr>
        <w:top w:val="none" w:sz="0" w:space="0" w:color="auto"/>
        <w:left w:val="none" w:sz="0" w:space="0" w:color="auto"/>
        <w:bottom w:val="none" w:sz="0" w:space="0" w:color="auto"/>
        <w:right w:val="none" w:sz="0" w:space="0" w:color="auto"/>
      </w:divBdr>
    </w:div>
    <w:div w:id="1400782898">
      <w:bodyDiv w:val="1"/>
      <w:marLeft w:val="0"/>
      <w:marRight w:val="0"/>
      <w:marTop w:val="0"/>
      <w:marBottom w:val="0"/>
      <w:divBdr>
        <w:top w:val="none" w:sz="0" w:space="0" w:color="auto"/>
        <w:left w:val="none" w:sz="0" w:space="0" w:color="auto"/>
        <w:bottom w:val="none" w:sz="0" w:space="0" w:color="auto"/>
        <w:right w:val="none" w:sz="0" w:space="0" w:color="auto"/>
      </w:divBdr>
    </w:div>
    <w:div w:id="1465544926">
      <w:bodyDiv w:val="1"/>
      <w:marLeft w:val="0"/>
      <w:marRight w:val="0"/>
      <w:marTop w:val="0"/>
      <w:marBottom w:val="0"/>
      <w:divBdr>
        <w:top w:val="none" w:sz="0" w:space="0" w:color="auto"/>
        <w:left w:val="none" w:sz="0" w:space="0" w:color="auto"/>
        <w:bottom w:val="none" w:sz="0" w:space="0" w:color="auto"/>
        <w:right w:val="none" w:sz="0" w:space="0" w:color="auto"/>
      </w:divBdr>
    </w:div>
    <w:div w:id="1573810057">
      <w:bodyDiv w:val="1"/>
      <w:marLeft w:val="0"/>
      <w:marRight w:val="0"/>
      <w:marTop w:val="0"/>
      <w:marBottom w:val="0"/>
      <w:divBdr>
        <w:top w:val="none" w:sz="0" w:space="0" w:color="auto"/>
        <w:left w:val="none" w:sz="0" w:space="0" w:color="auto"/>
        <w:bottom w:val="none" w:sz="0" w:space="0" w:color="auto"/>
        <w:right w:val="none" w:sz="0" w:space="0" w:color="auto"/>
      </w:divBdr>
    </w:div>
    <w:div w:id="1711296271">
      <w:bodyDiv w:val="1"/>
      <w:marLeft w:val="0"/>
      <w:marRight w:val="0"/>
      <w:marTop w:val="0"/>
      <w:marBottom w:val="0"/>
      <w:divBdr>
        <w:top w:val="none" w:sz="0" w:space="0" w:color="auto"/>
        <w:left w:val="none" w:sz="0" w:space="0" w:color="auto"/>
        <w:bottom w:val="none" w:sz="0" w:space="0" w:color="auto"/>
        <w:right w:val="none" w:sz="0" w:space="0" w:color="auto"/>
      </w:divBdr>
    </w:div>
    <w:div w:id="1925719743">
      <w:bodyDiv w:val="1"/>
      <w:marLeft w:val="0"/>
      <w:marRight w:val="0"/>
      <w:marTop w:val="0"/>
      <w:marBottom w:val="0"/>
      <w:divBdr>
        <w:top w:val="none" w:sz="0" w:space="0" w:color="auto"/>
        <w:left w:val="none" w:sz="0" w:space="0" w:color="auto"/>
        <w:bottom w:val="none" w:sz="0" w:space="0" w:color="auto"/>
        <w:right w:val="none" w:sz="0" w:space="0" w:color="auto"/>
      </w:divBdr>
    </w:div>
    <w:div w:id="1997147188">
      <w:bodyDiv w:val="1"/>
      <w:marLeft w:val="0"/>
      <w:marRight w:val="0"/>
      <w:marTop w:val="0"/>
      <w:marBottom w:val="0"/>
      <w:divBdr>
        <w:top w:val="none" w:sz="0" w:space="0" w:color="auto"/>
        <w:left w:val="none" w:sz="0" w:space="0" w:color="auto"/>
        <w:bottom w:val="none" w:sz="0" w:space="0" w:color="auto"/>
        <w:right w:val="none" w:sz="0" w:space="0" w:color="auto"/>
      </w:divBdr>
    </w:div>
    <w:div w:id="2101220278">
      <w:bodyDiv w:val="1"/>
      <w:marLeft w:val="0"/>
      <w:marRight w:val="0"/>
      <w:marTop w:val="0"/>
      <w:marBottom w:val="0"/>
      <w:divBdr>
        <w:top w:val="none" w:sz="0" w:space="0" w:color="auto"/>
        <w:left w:val="none" w:sz="0" w:space="0" w:color="auto"/>
        <w:bottom w:val="none" w:sz="0" w:space="0" w:color="auto"/>
        <w:right w:val="none" w:sz="0" w:space="0" w:color="auto"/>
      </w:divBdr>
      <w:divsChild>
        <w:div w:id="244147305">
          <w:marLeft w:val="0"/>
          <w:marRight w:val="0"/>
          <w:marTop w:val="0"/>
          <w:marBottom w:val="0"/>
          <w:divBdr>
            <w:top w:val="none" w:sz="0" w:space="0" w:color="auto"/>
            <w:left w:val="none" w:sz="0" w:space="0" w:color="auto"/>
            <w:bottom w:val="none" w:sz="0" w:space="0" w:color="auto"/>
            <w:right w:val="none" w:sz="0" w:space="0" w:color="auto"/>
          </w:divBdr>
          <w:divsChild>
            <w:div w:id="1946186734">
              <w:marLeft w:val="0"/>
              <w:marRight w:val="0"/>
              <w:marTop w:val="0"/>
              <w:marBottom w:val="0"/>
              <w:divBdr>
                <w:top w:val="none" w:sz="0" w:space="0" w:color="auto"/>
                <w:left w:val="none" w:sz="0" w:space="0" w:color="auto"/>
                <w:bottom w:val="none" w:sz="0" w:space="0" w:color="auto"/>
                <w:right w:val="none" w:sz="0" w:space="0" w:color="auto"/>
              </w:divBdr>
              <w:divsChild>
                <w:div w:id="322856113">
                  <w:marLeft w:val="-225"/>
                  <w:marRight w:val="-225"/>
                  <w:marTop w:val="0"/>
                  <w:marBottom w:val="0"/>
                  <w:divBdr>
                    <w:top w:val="none" w:sz="0" w:space="0" w:color="auto"/>
                    <w:left w:val="none" w:sz="0" w:space="0" w:color="auto"/>
                    <w:bottom w:val="none" w:sz="0" w:space="0" w:color="auto"/>
                    <w:right w:val="none" w:sz="0" w:space="0" w:color="auto"/>
                  </w:divBdr>
                  <w:divsChild>
                    <w:div w:id="373386058">
                      <w:marLeft w:val="0"/>
                      <w:marRight w:val="0"/>
                      <w:marTop w:val="0"/>
                      <w:marBottom w:val="0"/>
                      <w:divBdr>
                        <w:top w:val="none" w:sz="0" w:space="0" w:color="auto"/>
                        <w:left w:val="none" w:sz="0" w:space="0" w:color="auto"/>
                        <w:bottom w:val="none" w:sz="0" w:space="0" w:color="auto"/>
                        <w:right w:val="none" w:sz="0" w:space="0" w:color="auto"/>
                      </w:divBdr>
                      <w:divsChild>
                        <w:div w:id="991638198">
                          <w:marLeft w:val="0"/>
                          <w:marRight w:val="0"/>
                          <w:marTop w:val="0"/>
                          <w:marBottom w:val="0"/>
                          <w:divBdr>
                            <w:top w:val="none" w:sz="0" w:space="0" w:color="auto"/>
                            <w:left w:val="none" w:sz="0" w:space="0" w:color="auto"/>
                            <w:bottom w:val="none" w:sz="0" w:space="0" w:color="auto"/>
                            <w:right w:val="none" w:sz="0" w:space="0" w:color="auto"/>
                          </w:divBdr>
                          <w:divsChild>
                            <w:div w:id="1045562887">
                              <w:marLeft w:val="0"/>
                              <w:marRight w:val="0"/>
                              <w:marTop w:val="0"/>
                              <w:marBottom w:val="0"/>
                              <w:divBdr>
                                <w:top w:val="none" w:sz="0" w:space="0" w:color="auto"/>
                                <w:left w:val="none" w:sz="0" w:space="0" w:color="auto"/>
                                <w:bottom w:val="none" w:sz="0" w:space="0" w:color="auto"/>
                                <w:right w:val="none" w:sz="0" w:space="0" w:color="auto"/>
                              </w:divBdr>
                              <w:divsChild>
                                <w:div w:id="11094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mf.bmfbovespa.com.br/cias-listadas/empresas-listadas/ResumoEmpresaPrincipal.aspx?codigoCvm=16292" TargetMode="External"/><Relationship Id="rId13" Type="http://schemas.openxmlformats.org/officeDocument/2006/relationships/hyperlink" Target="http://bvmf.bmfbovespa.com.br/cias-listadas/empresas-listadas/ResumoEmpresaPrincipal.aspx?codigoCvm=20788" TargetMode="External"/><Relationship Id="rId18" Type="http://schemas.openxmlformats.org/officeDocument/2006/relationships/image" Target="media/image1.JPG"/><Relationship Id="rId26" Type="http://schemas.openxmlformats.org/officeDocument/2006/relationships/hyperlink" Target="http://www.ifrs.org/about-us/who-we-are/"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bvmf.bmfbovespa.com.br/cias-listadas/empresas-listadas/ResumoEmpresaPrincipal.aspx?codigoCvm=20575" TargetMode="External"/><Relationship Id="rId17" Type="http://schemas.openxmlformats.org/officeDocument/2006/relationships/hyperlink" Target="http://bvmf.bmfbovespa.com.br/cias-listadas/empresas-listadas/ResumoEmpresaPrincipal.aspx?codigoCvm=13765" TargetMode="External"/><Relationship Id="rId25" Type="http://schemas.openxmlformats.org/officeDocument/2006/relationships/hyperlink" Target="http://istoe.com.br/146549_OS+DETALHES+DA+FUSAO+ENTRE+SADIA+E+PERDIGAO/" TargetMode="External"/><Relationship Id="rId2" Type="http://schemas.openxmlformats.org/officeDocument/2006/relationships/numbering" Target="numbering.xml"/><Relationship Id="rId16" Type="http://schemas.openxmlformats.org/officeDocument/2006/relationships/hyperlink" Target="http://bvmf.bmfbovespa.com.br/cias-listadas/empresas-listadas/ResumoEmpresaPrincipal.aspx?codigoCvm=13765" TargetMode="External"/><Relationship Id="rId20" Type="http://schemas.openxmlformats.org/officeDocument/2006/relationships/chart" Target="charts/chart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vmf.bmfbovespa.com.br/cias-listadas/empresas-listadas/ResumoEmpresaPrincipal.aspx?codigoCvm=1570" TargetMode="External"/><Relationship Id="rId24" Type="http://schemas.openxmlformats.org/officeDocument/2006/relationships/hyperlink" Target="https://www.brf-global.com/sobre-brf/onde-estamos%20" TargetMode="External"/><Relationship Id="rId5" Type="http://schemas.openxmlformats.org/officeDocument/2006/relationships/webSettings" Target="webSettings.xml"/><Relationship Id="rId15" Type="http://schemas.openxmlformats.org/officeDocument/2006/relationships/hyperlink" Target="http://bvmf.bmfbovespa.com.br/cias-listadas/empresas-listadas/ResumoEmpresaPrincipal.aspx?codigoCvm=20931" TargetMode="External"/><Relationship Id="rId23" Type="http://schemas.openxmlformats.org/officeDocument/2006/relationships/hyperlink" Target="http://www.bmfbovespa.com.br/pt_br/index.htm" TargetMode="External"/><Relationship Id="rId28" Type="http://schemas.openxmlformats.org/officeDocument/2006/relationships/header" Target="header2.xml"/><Relationship Id="rId10" Type="http://schemas.openxmlformats.org/officeDocument/2006/relationships/hyperlink" Target="http://bvmf.bmfbovespa.com.br/cias-listadas/empresas-listadas/ResumoEmpresaPrincipal.aspx?codigoCvm=1570" TargetMode="External"/><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vmf.bmfbovespa.com.br/cias-listadas/empresas-listadas/ResumoEmpresaPrincipal.aspx?codigoCvm=16292" TargetMode="External"/><Relationship Id="rId14" Type="http://schemas.openxmlformats.org/officeDocument/2006/relationships/hyperlink" Target="http://bvmf.bmfbovespa.com.br/cias-listadas/empresas-listadas/ResumoEmpresaPrincipal.aspx?codigoCvm=20931" TargetMode="External"/><Relationship Id="rId22" Type="http://schemas.openxmlformats.org/officeDocument/2006/relationships/chart" Target="charts/chart4.xm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aia.naiara.rodrigues@hot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Nova%20pasta\artigo\dados%20para%20graficos%20artig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Nova%20pasta\artigo\dados%20para%20graficos%20artig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Nova%20pasta\artigo\dados%20para%20graficos%20artigo.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'comparativo 1'!$D$2</c:f>
              <c:strCache>
                <c:ptCount val="1"/>
                <c:pt idx="0">
                  <c:v>Resultado do Exercício</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0.11428571428571431"/>
                  <c:y val="-4.2105263157894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7E-4210-8ACB-90234ABC7190}"/>
                </c:ext>
              </c:extLst>
            </c:dLbl>
            <c:dLbl>
              <c:idx val="1"/>
              <c:layout>
                <c:manualLayout>
                  <c:x val="5.5555555555555558E-3"/>
                  <c:y val="0.25000000000000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19-418C-BAFD-306F6326AA20}"/>
                </c:ext>
              </c:extLst>
            </c:dLbl>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'comparativo 1'!$E$1:$F$1</c:f>
              <c:strCache>
                <c:ptCount val="2"/>
                <c:pt idx="0">
                  <c:v>31.12.2015</c:v>
                </c:pt>
                <c:pt idx="1">
                  <c:v>31.12.2016</c:v>
                </c:pt>
              </c:strCache>
            </c:strRef>
          </c:cat>
          <c:val>
            <c:numRef>
              <c:f>'comparativo 1'!$E$2:$F$2</c:f>
              <c:numCache>
                <c:formatCode>_-* #,##0_-;\-* #,##0_-;_-* "-"??_-;_-@_-</c:formatCode>
                <c:ptCount val="2"/>
                <c:pt idx="0">
                  <c:v>3130858000</c:v>
                </c:pt>
                <c:pt idx="1">
                  <c:v>-367339000</c:v>
                </c:pt>
              </c:numCache>
            </c:numRef>
          </c:val>
          <c:extLst>
            <c:ext xmlns:c16="http://schemas.microsoft.com/office/drawing/2014/chart" uri="{C3380CC4-5D6E-409C-BE32-E72D297353CC}">
              <c16:uniqueId val="{00000001-5B19-418C-BAFD-306F6326AA20}"/>
            </c:ext>
          </c:extLst>
        </c:ser>
        <c:ser>
          <c:idx val="1"/>
          <c:order val="1"/>
          <c:tx>
            <c:strRef>
              <c:f>'comparativo 1'!$D$3</c:f>
              <c:strCache>
                <c:ptCount val="1"/>
                <c:pt idx="0">
                  <c:v>Distribuição a Dividendos</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1467304625199361E-2"/>
                  <c:y val="-0.109195402298850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19-418C-BAFD-306F6326AA20}"/>
                </c:ext>
              </c:extLst>
            </c:dLbl>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'comparativo 1'!$E$1:$F$1</c:f>
              <c:strCache>
                <c:ptCount val="2"/>
                <c:pt idx="0">
                  <c:v>31.12.2015</c:v>
                </c:pt>
                <c:pt idx="1">
                  <c:v>31.12.2016</c:v>
                </c:pt>
              </c:strCache>
            </c:strRef>
          </c:cat>
          <c:val>
            <c:numRef>
              <c:f>'comparativo 1'!$E$3:$F$3</c:f>
              <c:numCache>
                <c:formatCode>_-* #,##0_-;\-* #,##0_-;_-* "-"??_-;_-@_-</c:formatCode>
                <c:ptCount val="2"/>
                <c:pt idx="0">
                  <c:v>91443000</c:v>
                </c:pt>
                <c:pt idx="1">
                  <c:v>0</c:v>
                </c:pt>
              </c:numCache>
            </c:numRef>
          </c:val>
          <c:extLst>
            <c:ext xmlns:c16="http://schemas.microsoft.com/office/drawing/2014/chart" uri="{C3380CC4-5D6E-409C-BE32-E72D297353CC}">
              <c16:uniqueId val="{00000002-5B19-418C-BAFD-306F6326AA20}"/>
            </c:ext>
          </c:extLst>
        </c:ser>
        <c:ser>
          <c:idx val="2"/>
          <c:order val="2"/>
          <c:tx>
            <c:strRef>
              <c:f>'comparativo 1'!$D$4</c:f>
              <c:strCache>
                <c:ptCount val="1"/>
                <c:pt idx="0">
                  <c:v>Destinação a Reserva de Lucros</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2.2222305943814382E-2"/>
                  <c:y val="-0.191091954022988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19-418C-BAFD-306F6326AA20}"/>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'comparativo 1'!$E$1:$F$1</c:f>
              <c:strCache>
                <c:ptCount val="2"/>
                <c:pt idx="0">
                  <c:v>31.12.2015</c:v>
                </c:pt>
                <c:pt idx="1">
                  <c:v>31.12.2016</c:v>
                </c:pt>
              </c:strCache>
            </c:strRef>
          </c:cat>
          <c:val>
            <c:numRef>
              <c:f>'comparativo 1'!$E$4:$F$4</c:f>
              <c:numCache>
                <c:formatCode>_-* #,##0_-;\-* #,##0_-;_-* "-"??_-;_-@_-</c:formatCode>
                <c:ptCount val="2"/>
                <c:pt idx="0">
                  <c:v>155558000</c:v>
                </c:pt>
                <c:pt idx="1">
                  <c:v>0</c:v>
                </c:pt>
              </c:numCache>
            </c:numRef>
          </c:val>
          <c:extLst>
            <c:ext xmlns:c16="http://schemas.microsoft.com/office/drawing/2014/chart" uri="{C3380CC4-5D6E-409C-BE32-E72D297353CC}">
              <c16:uniqueId val="{00000004-5B19-418C-BAFD-306F6326AA20}"/>
            </c:ext>
          </c:extLst>
        </c:ser>
        <c:dLbls>
          <c:showLegendKey val="0"/>
          <c:showVal val="1"/>
          <c:showCatName val="0"/>
          <c:showSerName val="0"/>
          <c:showPercent val="0"/>
          <c:showBubbleSize val="0"/>
        </c:dLbls>
        <c:gapWidth val="84"/>
        <c:gapDepth val="53"/>
        <c:shape val="box"/>
        <c:axId val="131915136"/>
        <c:axId val="131915696"/>
        <c:axId val="0"/>
      </c:bar3DChart>
      <c:catAx>
        <c:axId val="131915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t-BR"/>
          </a:p>
        </c:txPr>
        <c:crossAx val="131915696"/>
        <c:crosses val="autoZero"/>
        <c:auto val="1"/>
        <c:lblAlgn val="ctr"/>
        <c:lblOffset val="100"/>
        <c:noMultiLvlLbl val="0"/>
      </c:catAx>
      <c:valAx>
        <c:axId val="131915696"/>
        <c:scaling>
          <c:orientation val="minMax"/>
        </c:scaling>
        <c:delete val="1"/>
        <c:axPos val="l"/>
        <c:numFmt formatCode="_-* #,##0_-;\-* #,##0_-;_-* &quot;-&quot;??_-;_-@_-" sourceLinked="1"/>
        <c:majorTickMark val="out"/>
        <c:minorTickMark val="none"/>
        <c:tickLblPos val="nextTo"/>
        <c:crossAx val="131915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t-BR"/>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'ajuste a valor presente'!$I$3</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'ajuste a valor presente'!$J$2:$L$2</c:f>
              <c:strCache>
                <c:ptCount val="3"/>
                <c:pt idx="0">
                  <c:v>Contas a Receber de Clientes e Títulos a Receber</c:v>
                </c:pt>
                <c:pt idx="1">
                  <c:v>Estoque</c:v>
                </c:pt>
                <c:pt idx="2">
                  <c:v>Fornecedores</c:v>
                </c:pt>
              </c:strCache>
            </c:strRef>
          </c:cat>
          <c:val>
            <c:numRef>
              <c:f>'ajuste a valor presente'!$J$3:$L$3</c:f>
              <c:numCache>
                <c:formatCode>#,##0</c:formatCode>
                <c:ptCount val="3"/>
                <c:pt idx="0" formatCode="_-* #,##0_-;\-* #,##0_-;_-* &quot;-&quot;??_-;_-@_-">
                  <c:v>16214000</c:v>
                </c:pt>
                <c:pt idx="1">
                  <c:v>32888000</c:v>
                </c:pt>
                <c:pt idx="2">
                  <c:v>38416000</c:v>
                </c:pt>
              </c:numCache>
            </c:numRef>
          </c:val>
          <c:extLst>
            <c:ext xmlns:c16="http://schemas.microsoft.com/office/drawing/2014/chart" uri="{C3380CC4-5D6E-409C-BE32-E72D297353CC}">
              <c16:uniqueId val="{00000000-CF04-41E1-BE94-BBE6BA592FEC}"/>
            </c:ext>
          </c:extLst>
        </c:ser>
        <c:ser>
          <c:idx val="1"/>
          <c:order val="1"/>
          <c:tx>
            <c:strRef>
              <c:f>'ajuste a valor presente'!$I$4</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'ajuste a valor presente'!$J$2:$L$2</c:f>
              <c:strCache>
                <c:ptCount val="3"/>
                <c:pt idx="0">
                  <c:v>Contas a Receber de Clientes e Títulos a Receber</c:v>
                </c:pt>
                <c:pt idx="1">
                  <c:v>Estoque</c:v>
                </c:pt>
                <c:pt idx="2">
                  <c:v>Fornecedores</c:v>
                </c:pt>
              </c:strCache>
            </c:strRef>
          </c:cat>
          <c:val>
            <c:numRef>
              <c:f>'ajuste a valor presente'!$J$4:$L$4</c:f>
              <c:numCache>
                <c:formatCode>#,##0</c:formatCode>
                <c:ptCount val="3"/>
                <c:pt idx="0" formatCode="_-* #,##0_-;\-* #,##0_-;_-* &quot;-&quot;??_-;_-@_-">
                  <c:v>16483000</c:v>
                </c:pt>
                <c:pt idx="1">
                  <c:v>30143000</c:v>
                </c:pt>
                <c:pt idx="2">
                  <c:v>48954000</c:v>
                </c:pt>
              </c:numCache>
            </c:numRef>
          </c:val>
          <c:extLst>
            <c:ext xmlns:c16="http://schemas.microsoft.com/office/drawing/2014/chart" uri="{C3380CC4-5D6E-409C-BE32-E72D297353CC}">
              <c16:uniqueId val="{00000001-CF04-41E1-BE94-BBE6BA592FEC}"/>
            </c:ext>
          </c:extLst>
        </c:ser>
        <c:dLbls>
          <c:dLblPos val="inEnd"/>
          <c:showLegendKey val="0"/>
          <c:showVal val="1"/>
          <c:showCatName val="0"/>
          <c:showSerName val="0"/>
          <c:showPercent val="0"/>
          <c:showBubbleSize val="0"/>
        </c:dLbls>
        <c:gapWidth val="65"/>
        <c:axId val="131918496"/>
        <c:axId val="131919056"/>
      </c:barChart>
      <c:catAx>
        <c:axId val="1319184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t-BR"/>
          </a:p>
        </c:txPr>
        <c:crossAx val="131919056"/>
        <c:crosses val="autoZero"/>
        <c:auto val="1"/>
        <c:lblAlgn val="ctr"/>
        <c:lblOffset val="100"/>
        <c:noMultiLvlLbl val="0"/>
      </c:catAx>
      <c:valAx>
        <c:axId val="1319190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 #,##0_-;\-* #,##0_-;_-* &quot;-&quot;??_-;_-@_-" sourceLinked="1"/>
        <c:majorTickMark val="none"/>
        <c:minorTickMark val="none"/>
        <c:tickLblPos val="nextTo"/>
        <c:crossAx val="1319184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Planilha1!$C$2</c:f>
              <c:strCache>
                <c:ptCount val="1"/>
                <c:pt idx="0">
                  <c:v>Trabalhistas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Planilha1!$D$1:$E$1</c:f>
              <c:strCache>
                <c:ptCount val="2"/>
                <c:pt idx="0">
                  <c:v>31.12.2015</c:v>
                </c:pt>
                <c:pt idx="1">
                  <c:v>31.12.2016</c:v>
                </c:pt>
              </c:strCache>
            </c:strRef>
          </c:cat>
          <c:val>
            <c:numRef>
              <c:f>Planilha1!$D$2:$E$2</c:f>
              <c:numCache>
                <c:formatCode>_-* #,##0_-;\-* #,##0_-;_-* "-"??_-;_-@_-</c:formatCode>
                <c:ptCount val="2"/>
                <c:pt idx="0">
                  <c:v>377023000</c:v>
                </c:pt>
                <c:pt idx="1">
                  <c:v>479742000</c:v>
                </c:pt>
              </c:numCache>
            </c:numRef>
          </c:val>
          <c:smooth val="0"/>
          <c:extLst>
            <c:ext xmlns:c16="http://schemas.microsoft.com/office/drawing/2014/chart" uri="{C3380CC4-5D6E-409C-BE32-E72D297353CC}">
              <c16:uniqueId val="{00000000-FADE-45FB-9451-657C01A1E7D3}"/>
            </c:ext>
          </c:extLst>
        </c:ser>
        <c:ser>
          <c:idx val="1"/>
          <c:order val="1"/>
          <c:tx>
            <c:strRef>
              <c:f>Planilha1!$C$3</c:f>
              <c:strCache>
                <c:ptCount val="1"/>
                <c:pt idx="0">
                  <c:v>Cíveis, comerciais e outras</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Planilha1!$D$1:$E$1</c:f>
              <c:strCache>
                <c:ptCount val="2"/>
                <c:pt idx="0">
                  <c:v>31.12.2015</c:v>
                </c:pt>
                <c:pt idx="1">
                  <c:v>31.12.2016</c:v>
                </c:pt>
              </c:strCache>
            </c:strRef>
          </c:cat>
          <c:val>
            <c:numRef>
              <c:f>Planilha1!$D$3:$E$3</c:f>
              <c:numCache>
                <c:formatCode>_-* #,##0_-;\-* #,##0_-;_-* "-"??_-;_-@_-</c:formatCode>
                <c:ptCount val="2"/>
                <c:pt idx="0">
                  <c:v>65701000</c:v>
                </c:pt>
                <c:pt idx="1">
                  <c:v>122504000</c:v>
                </c:pt>
              </c:numCache>
            </c:numRef>
          </c:val>
          <c:smooth val="0"/>
          <c:extLst>
            <c:ext xmlns:c16="http://schemas.microsoft.com/office/drawing/2014/chart" uri="{C3380CC4-5D6E-409C-BE32-E72D297353CC}">
              <c16:uniqueId val="{00000001-FADE-45FB-9451-657C01A1E7D3}"/>
            </c:ext>
          </c:extLst>
        </c:ser>
        <c:ser>
          <c:idx val="2"/>
          <c:order val="2"/>
          <c:tx>
            <c:strRef>
              <c:f>Planilha1!$C$4</c:f>
              <c:strCache>
                <c:ptCount val="1"/>
                <c:pt idx="0">
                  <c:v>Tributárias</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Planilha1!$D$1:$E$1</c:f>
              <c:strCache>
                <c:ptCount val="2"/>
                <c:pt idx="0">
                  <c:v>31.12.2015</c:v>
                </c:pt>
                <c:pt idx="1">
                  <c:v>31.12.2016</c:v>
                </c:pt>
              </c:strCache>
            </c:strRef>
          </c:cat>
          <c:val>
            <c:numRef>
              <c:f>Planilha1!$D$4:$E$4</c:f>
              <c:numCache>
                <c:formatCode>_-* #,##0_-;\-* #,##0_-;_-* "-"??_-;_-@_-</c:formatCode>
                <c:ptCount val="2"/>
                <c:pt idx="0">
                  <c:v>240496000</c:v>
                </c:pt>
                <c:pt idx="1">
                  <c:v>281715000</c:v>
                </c:pt>
              </c:numCache>
            </c:numRef>
          </c:val>
          <c:smooth val="0"/>
          <c:extLst>
            <c:ext xmlns:c16="http://schemas.microsoft.com/office/drawing/2014/chart" uri="{C3380CC4-5D6E-409C-BE32-E72D297353CC}">
              <c16:uniqueId val="{00000002-FADE-45FB-9451-657C01A1E7D3}"/>
            </c:ext>
          </c:extLst>
        </c:ser>
        <c:dLbls>
          <c:showLegendKey val="0"/>
          <c:showVal val="0"/>
          <c:showCatName val="0"/>
          <c:showSerName val="0"/>
          <c:showPercent val="0"/>
          <c:showBubbleSize val="0"/>
        </c:dLbls>
        <c:smooth val="0"/>
        <c:axId val="131653120"/>
        <c:axId val="131653680"/>
      </c:lineChart>
      <c:catAx>
        <c:axId val="131653120"/>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31653680"/>
        <c:crosses val="autoZero"/>
        <c:auto val="1"/>
        <c:lblAlgn val="ctr"/>
        <c:lblOffset val="100"/>
        <c:noMultiLvlLbl val="0"/>
      </c:catAx>
      <c:valAx>
        <c:axId val="131653680"/>
        <c:scaling>
          <c:orientation val="minMax"/>
        </c:scaling>
        <c:delete val="0"/>
        <c:axPos val="l"/>
        <c:majorGridlines>
          <c:spPr>
            <a:ln w="9525" cap="flat" cmpd="sng" algn="ctr">
              <a:solidFill>
                <a:schemeClr val="lt1">
                  <a:lumMod val="95000"/>
                  <a:alpha val="10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13165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4022607325272"/>
          <c:y val="6.4610866372980913E-2"/>
          <c:w val="0.57442855280239002"/>
          <c:h val="0.75654329552418298"/>
        </c:manualLayout>
      </c:layout>
      <c:barChart>
        <c:barDir val="bar"/>
        <c:grouping val="clustered"/>
        <c:varyColors val="0"/>
        <c:ser>
          <c:idx val="0"/>
          <c:order val="0"/>
          <c:tx>
            <c:strRef>
              <c:f>Planilha1!$D$7:$D$8</c:f>
              <c:strCache>
                <c:ptCount val="2"/>
                <c:pt idx="0">
                  <c:v>PROVÁVEIS</c:v>
                </c:pt>
                <c:pt idx="1">
                  <c:v>31.12.2016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Planilha1!$C$9:$C$11</c:f>
              <c:strCache>
                <c:ptCount val="3"/>
                <c:pt idx="0">
                  <c:v>Trabalhistas</c:v>
                </c:pt>
                <c:pt idx="1">
                  <c:v>Cíveis, comerciais e outras</c:v>
                </c:pt>
                <c:pt idx="2">
                  <c:v>Tributárias</c:v>
                </c:pt>
              </c:strCache>
            </c:strRef>
          </c:cat>
          <c:val>
            <c:numRef>
              <c:f>Planilha1!$D$9:$D$11</c:f>
              <c:numCache>
                <c:formatCode>_-* #,##0_-;\-* #,##0_-;_-* "-"??_-;_-@_-</c:formatCode>
                <c:ptCount val="3"/>
                <c:pt idx="0">
                  <c:v>479742000</c:v>
                </c:pt>
                <c:pt idx="1">
                  <c:v>122504000</c:v>
                </c:pt>
                <c:pt idx="2">
                  <c:v>281715000</c:v>
                </c:pt>
              </c:numCache>
            </c:numRef>
          </c:val>
          <c:extLst>
            <c:ext xmlns:c16="http://schemas.microsoft.com/office/drawing/2014/chart" uri="{C3380CC4-5D6E-409C-BE32-E72D297353CC}">
              <c16:uniqueId val="{00000000-DCB9-4E23-A415-C47535208B03}"/>
            </c:ext>
          </c:extLst>
        </c:ser>
        <c:ser>
          <c:idx val="1"/>
          <c:order val="1"/>
          <c:tx>
            <c:strRef>
              <c:f>Planilha1!$E$7:$E$8</c:f>
              <c:strCache>
                <c:ptCount val="2"/>
                <c:pt idx="0">
                  <c:v>PROVÁVEIS</c:v>
                </c:pt>
                <c:pt idx="1">
                  <c:v>31.12.2015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Planilha1!$C$9:$C$11</c:f>
              <c:strCache>
                <c:ptCount val="3"/>
                <c:pt idx="0">
                  <c:v>Trabalhistas</c:v>
                </c:pt>
                <c:pt idx="1">
                  <c:v>Cíveis, comerciais e outras</c:v>
                </c:pt>
                <c:pt idx="2">
                  <c:v>Tributárias</c:v>
                </c:pt>
              </c:strCache>
            </c:strRef>
          </c:cat>
          <c:val>
            <c:numRef>
              <c:f>Planilha1!$E$9:$E$11</c:f>
              <c:numCache>
                <c:formatCode>_-* #,##0_-;\-* #,##0_-;_-* "-"??_-;_-@_-</c:formatCode>
                <c:ptCount val="3"/>
                <c:pt idx="0">
                  <c:v>377023000</c:v>
                </c:pt>
                <c:pt idx="1">
                  <c:v>65701000</c:v>
                </c:pt>
                <c:pt idx="2">
                  <c:v>240496000</c:v>
                </c:pt>
              </c:numCache>
            </c:numRef>
          </c:val>
          <c:extLst>
            <c:ext xmlns:c16="http://schemas.microsoft.com/office/drawing/2014/chart" uri="{C3380CC4-5D6E-409C-BE32-E72D297353CC}">
              <c16:uniqueId val="{00000001-DCB9-4E23-A415-C47535208B03}"/>
            </c:ext>
          </c:extLst>
        </c:ser>
        <c:ser>
          <c:idx val="2"/>
          <c:order val="2"/>
          <c:tx>
            <c:strRef>
              <c:f>Planilha1!$F$7:$F$8</c:f>
              <c:strCache>
                <c:ptCount val="2"/>
                <c:pt idx="0">
                  <c:v>POSSÍVEIS</c:v>
                </c:pt>
                <c:pt idx="1">
                  <c:v>31.12.2016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Planilha1!$C$9:$C$11</c:f>
              <c:strCache>
                <c:ptCount val="3"/>
                <c:pt idx="0">
                  <c:v>Trabalhistas</c:v>
                </c:pt>
                <c:pt idx="1">
                  <c:v>Cíveis, comerciais e outras</c:v>
                </c:pt>
                <c:pt idx="2">
                  <c:v>Tributárias</c:v>
                </c:pt>
              </c:strCache>
            </c:strRef>
          </c:cat>
          <c:val>
            <c:numRef>
              <c:f>Planilha1!$F$9:$F$11</c:f>
              <c:numCache>
                <c:formatCode>_-* #,##0_-;\-* #,##0_-;_-* "-"??_-;_-@_-</c:formatCode>
                <c:ptCount val="3"/>
                <c:pt idx="0">
                  <c:v>34922000</c:v>
                </c:pt>
                <c:pt idx="1">
                  <c:v>1679847000</c:v>
                </c:pt>
                <c:pt idx="2">
                  <c:v>11953088000</c:v>
                </c:pt>
              </c:numCache>
            </c:numRef>
          </c:val>
          <c:extLst>
            <c:ext xmlns:c16="http://schemas.microsoft.com/office/drawing/2014/chart" uri="{C3380CC4-5D6E-409C-BE32-E72D297353CC}">
              <c16:uniqueId val="{00000002-DCB9-4E23-A415-C47535208B03}"/>
            </c:ext>
          </c:extLst>
        </c:ser>
        <c:ser>
          <c:idx val="3"/>
          <c:order val="3"/>
          <c:tx>
            <c:strRef>
              <c:f>Planilha1!$G$7:$G$8</c:f>
              <c:strCache>
                <c:ptCount val="2"/>
                <c:pt idx="0">
                  <c:v>POSSÍVEIS</c:v>
                </c:pt>
                <c:pt idx="1">
                  <c:v>31.12.2015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Planilha1!$C$9:$C$11</c:f>
              <c:strCache>
                <c:ptCount val="3"/>
                <c:pt idx="0">
                  <c:v>Trabalhistas</c:v>
                </c:pt>
                <c:pt idx="1">
                  <c:v>Cíveis, comerciais e outras</c:v>
                </c:pt>
                <c:pt idx="2">
                  <c:v>Tributárias</c:v>
                </c:pt>
              </c:strCache>
            </c:strRef>
          </c:cat>
          <c:val>
            <c:numRef>
              <c:f>Planilha1!$G$9:$G$11</c:f>
              <c:numCache>
                <c:formatCode>_-* #,##0_-;\-* #,##0_-;_-* "-"??_-;_-@_-</c:formatCode>
                <c:ptCount val="3"/>
                <c:pt idx="0">
                  <c:v>39220000</c:v>
                </c:pt>
                <c:pt idx="1">
                  <c:v>1098153000</c:v>
                </c:pt>
                <c:pt idx="2" formatCode="#,##0">
                  <c:v>10569885000</c:v>
                </c:pt>
              </c:numCache>
            </c:numRef>
          </c:val>
          <c:extLst>
            <c:ext xmlns:c16="http://schemas.microsoft.com/office/drawing/2014/chart" uri="{C3380CC4-5D6E-409C-BE32-E72D297353CC}">
              <c16:uniqueId val="{00000003-DCB9-4E23-A415-C47535208B03}"/>
            </c:ext>
          </c:extLst>
        </c:ser>
        <c:dLbls>
          <c:showLegendKey val="0"/>
          <c:showVal val="0"/>
          <c:showCatName val="0"/>
          <c:showSerName val="0"/>
          <c:showPercent val="0"/>
          <c:showBubbleSize val="0"/>
        </c:dLbls>
        <c:gapWidth val="182"/>
        <c:axId val="131657600"/>
        <c:axId val="131658160"/>
      </c:barChart>
      <c:catAx>
        <c:axId val="131657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1658160"/>
        <c:crosses val="autoZero"/>
        <c:auto val="1"/>
        <c:lblAlgn val="ctr"/>
        <c:lblOffset val="100"/>
        <c:noMultiLvlLbl val="0"/>
      </c:catAx>
      <c:valAx>
        <c:axId val="131658160"/>
        <c:scaling>
          <c:orientation val="minMax"/>
        </c:scaling>
        <c:delete val="0"/>
        <c:axPos val="b"/>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1657600"/>
        <c:crosses val="autoZero"/>
        <c:crossBetween val="between"/>
      </c:valAx>
      <c:spPr>
        <a:noFill/>
        <a:ln>
          <a:noFill/>
        </a:ln>
        <a:effectLst/>
      </c:spPr>
    </c:plotArea>
    <c:legend>
      <c:legendPos val="b"/>
      <c:layout>
        <c:manualLayout>
          <c:xMode val="edge"/>
          <c:yMode val="edge"/>
          <c:x val="1.1427470054364154E-2"/>
          <c:y val="0.70484442748621179"/>
          <c:w val="0.29751920318815439"/>
          <c:h val="0.295155572513788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2D3A-D242-4F8A-95AB-923B0768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8517</Words>
  <Characters>45993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Daiana Naiara Rodrigues</dc:creator>
  <cp:keywords/>
  <dc:description/>
  <cp:lastModifiedBy>Marisa Jacomento Durante</cp:lastModifiedBy>
  <cp:revision>13</cp:revision>
  <cp:lastPrinted>2017-05-28T21:05:00Z</cp:lastPrinted>
  <dcterms:created xsi:type="dcterms:W3CDTF">2018-07-10T14:24:00Z</dcterms:created>
  <dcterms:modified xsi:type="dcterms:W3CDTF">2018-09-01T01:26:00Z</dcterms:modified>
</cp:coreProperties>
</file>